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5F6A0C59" w:rsidR="00332753" w:rsidRPr="00295F10" w:rsidRDefault="00332753" w:rsidP="00332753">
      <w:pPr>
        <w:pStyle w:val="3GPPHeader"/>
        <w:spacing w:after="60"/>
        <w:rPr>
          <w:rFonts w:ascii="Arial" w:hAnsi="Arial" w:cs="Arial"/>
          <w:lang w:val="de-DE"/>
        </w:rPr>
      </w:pPr>
      <w:r w:rsidRPr="00295F10">
        <w:rPr>
          <w:lang w:val="de-DE"/>
        </w:rPr>
        <w:t>3GPP TSG-RAN WG1 #10</w:t>
      </w:r>
      <w:r w:rsidR="008272F9" w:rsidRPr="00295F10">
        <w:rPr>
          <w:lang w:val="de-DE"/>
        </w:rPr>
        <w:t>4</w:t>
      </w:r>
      <w:r w:rsidR="00295F10" w:rsidRPr="00295F10">
        <w:rPr>
          <w:lang w:val="de-DE"/>
        </w:rPr>
        <w:t>bis</w:t>
      </w:r>
      <w:r w:rsidR="00C91B44" w:rsidRPr="00295F10">
        <w:rPr>
          <w:lang w:val="de-DE"/>
        </w:rPr>
        <w:t>-e</w:t>
      </w:r>
      <w:r w:rsidR="001841A9" w:rsidRPr="00295F10">
        <w:rPr>
          <w:lang w:val="de-DE"/>
        </w:rPr>
        <w:t xml:space="preserve"> </w:t>
      </w:r>
      <w:r w:rsidRPr="00295F10">
        <w:rPr>
          <w:rFonts w:ascii="Arial" w:hAnsi="Arial" w:cs="Arial"/>
          <w:lang w:val="de-DE"/>
        </w:rPr>
        <w:tab/>
        <w:t>R1-</w:t>
      </w:r>
      <w:r w:rsidR="00DA4BE1" w:rsidRPr="00295F10">
        <w:rPr>
          <w:rFonts w:ascii="Arial" w:hAnsi="Arial" w:cs="Arial"/>
          <w:lang w:val="de-DE"/>
        </w:rPr>
        <w:t>2</w:t>
      </w:r>
      <w:r w:rsidR="008272F9" w:rsidRPr="00295F10">
        <w:rPr>
          <w:rFonts w:ascii="Arial" w:hAnsi="Arial" w:cs="Arial"/>
          <w:lang w:val="de-DE"/>
        </w:rPr>
        <w:t>1</w:t>
      </w:r>
      <w:r w:rsidR="004C3263">
        <w:rPr>
          <w:rFonts w:ascii="Arial" w:hAnsi="Arial" w:cs="Arial"/>
          <w:lang w:val="de-DE"/>
        </w:rPr>
        <w:t>02809</w:t>
      </w:r>
      <w:r w:rsidRPr="00295F10" w:rsidDel="00EB7925">
        <w:rPr>
          <w:rFonts w:ascii="Arial" w:hAnsi="Arial" w:cs="Arial"/>
          <w:lang w:val="de-DE"/>
        </w:rPr>
        <w:t xml:space="preserve"> </w:t>
      </w:r>
      <w:r w:rsidRPr="00295F10" w:rsidDel="00070695">
        <w:rPr>
          <w:rFonts w:ascii="Arial" w:hAnsi="Arial" w:cs="Arial"/>
          <w:lang w:val="de-DE"/>
        </w:rPr>
        <w:t xml:space="preserve"> </w:t>
      </w:r>
      <w:r w:rsidRPr="00295F10" w:rsidDel="005A147F">
        <w:rPr>
          <w:rFonts w:ascii="Arial" w:hAnsi="Arial" w:cs="Arial"/>
          <w:lang w:val="de-DE"/>
        </w:rPr>
        <w:t xml:space="preserve"> </w:t>
      </w:r>
    </w:p>
    <w:p w14:paraId="6F031CAE" w14:textId="2CB935F4" w:rsidR="00332753" w:rsidRPr="007A3FE1" w:rsidRDefault="004E3157" w:rsidP="00332753">
      <w:pPr>
        <w:pStyle w:val="3GPPHeader"/>
        <w:spacing w:after="60"/>
        <w:rPr>
          <w:rFonts w:ascii="Arial" w:hAnsi="Arial" w:cs="Arial"/>
          <w:b w:val="0"/>
          <w:noProof/>
        </w:rPr>
      </w:pPr>
      <w:r>
        <w:t xml:space="preserve">e-Meeting, </w:t>
      </w:r>
      <w:r w:rsidR="00295F10">
        <w:t>April</w:t>
      </w:r>
      <w:r w:rsidR="00C91B44">
        <w:t xml:space="preserve"> </w:t>
      </w:r>
      <w:r w:rsidR="00295F10">
        <w:t>12</w:t>
      </w:r>
      <w:r w:rsidR="00517862" w:rsidRPr="00517862">
        <w:rPr>
          <w:vertAlign w:val="superscript"/>
        </w:rPr>
        <w:t>th</w:t>
      </w:r>
      <w:r w:rsidR="00517862">
        <w:t xml:space="preserve"> </w:t>
      </w:r>
      <w:r w:rsidR="00332753">
        <w:t xml:space="preserve">– </w:t>
      </w:r>
      <w:r w:rsidR="00F17D53">
        <w:t>20</w:t>
      </w:r>
      <w:r w:rsidR="00332753" w:rsidRPr="00E666C9">
        <w:rPr>
          <w:vertAlign w:val="superscript"/>
        </w:rPr>
        <w:t>th</w:t>
      </w:r>
      <w:r w:rsidR="00332753">
        <w:t>, 202</w:t>
      </w:r>
      <w:r w:rsidR="00B84011">
        <w:t>1</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6022D445" w:rsidR="00332753" w:rsidRPr="00DD6042" w:rsidRDefault="00332753" w:rsidP="00332753">
      <w:pPr>
        <w:pStyle w:val="3GPPHeader"/>
        <w:rPr>
          <w:rFonts w:ascii="Arial" w:hAnsi="Arial" w:cs="Arial"/>
          <w:sz w:val="22"/>
        </w:rPr>
      </w:pPr>
      <w:r w:rsidRPr="00DD6042">
        <w:rPr>
          <w:rFonts w:ascii="Arial" w:hAnsi="Arial" w:cs="Arial"/>
          <w:sz w:val="22"/>
        </w:rPr>
        <w:t>Agenda Item:</w:t>
      </w:r>
      <w:r w:rsidRPr="00DD6042">
        <w:rPr>
          <w:rFonts w:ascii="Arial" w:hAnsi="Arial" w:cs="Arial"/>
          <w:sz w:val="22"/>
        </w:rPr>
        <w:tab/>
      </w:r>
      <w:r w:rsidR="00DD6042">
        <w:rPr>
          <w:rFonts w:ascii="Arial" w:hAnsi="Arial" w:cs="Arial"/>
          <w:sz w:val="22"/>
        </w:rPr>
        <w:t>8</w:t>
      </w:r>
      <w:r w:rsidR="00776338" w:rsidRPr="00DD6042">
        <w:rPr>
          <w:rFonts w:ascii="Arial" w:hAnsi="Arial" w:cs="Arial"/>
          <w:sz w:val="22"/>
        </w:rPr>
        <w:t>.</w:t>
      </w:r>
      <w:r w:rsidR="00DD6042">
        <w:rPr>
          <w:rFonts w:ascii="Arial" w:hAnsi="Arial" w:cs="Arial"/>
          <w:sz w:val="22"/>
        </w:rPr>
        <w:t>2</w:t>
      </w:r>
      <w:r w:rsidR="00776338" w:rsidRPr="00DD6042">
        <w:rPr>
          <w:rFonts w:ascii="Arial" w:hAnsi="Arial" w:cs="Arial"/>
          <w:sz w:val="22"/>
        </w:rPr>
        <w:t>.</w:t>
      </w:r>
      <w:r w:rsidR="00DD6042">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1D59B71A"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F72288">
        <w:rPr>
          <w:rFonts w:ascii="Arial" w:hAnsi="Arial" w:cs="Arial"/>
          <w:sz w:val="22"/>
        </w:rPr>
        <w:t>PDCCH monitoring enhancement</w:t>
      </w:r>
      <w:r w:rsidR="00E2158E">
        <w:rPr>
          <w:rFonts w:ascii="Arial" w:hAnsi="Arial" w:cs="Arial"/>
          <w:sz w:val="22"/>
        </w:rPr>
        <w:t xml:space="preserve"> for NR </w:t>
      </w:r>
      <w:r w:rsidR="00C14F9F">
        <w:rPr>
          <w:rFonts w:ascii="Arial" w:hAnsi="Arial" w:cs="Arial"/>
          <w:sz w:val="22"/>
        </w:rPr>
        <w:t>from 52</w:t>
      </w:r>
      <w:r w:rsidR="00A97F3A">
        <w:rPr>
          <w:rFonts w:ascii="Arial" w:hAnsi="Arial" w:cs="Arial"/>
          <w:sz w:val="22"/>
        </w:rPr>
        <w:t xml:space="preserve">.6GHz to </w:t>
      </w:r>
      <w:r w:rsidR="00C63E9B">
        <w:rPr>
          <w:rFonts w:ascii="Arial" w:hAnsi="Arial" w:cs="Arial"/>
          <w:sz w:val="22"/>
        </w:rPr>
        <w:t>71GHz</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756A8B52" w14:textId="1CF25F0D" w:rsidR="00EA6B30" w:rsidRDefault="00EA6B30" w:rsidP="00EA6B30">
      <w:pPr>
        <w:rPr>
          <w:rFonts w:ascii="Times New Roman" w:eastAsia="MS Mincho" w:hAnsi="Times New Roman" w:cs="Times New Roman"/>
          <w:sz w:val="20"/>
          <w:szCs w:val="20"/>
        </w:rPr>
      </w:pPr>
      <w:r>
        <w:rPr>
          <w:rFonts w:ascii="Times New Roman" w:eastAsia="MS Mincho" w:hAnsi="Times New Roman" w:cs="Times New Roman"/>
          <w:sz w:val="20"/>
          <w:szCs w:val="20"/>
        </w:rPr>
        <w:t>In the previous RAN1 meeting</w:t>
      </w:r>
      <w:r w:rsidR="00C910BF">
        <w:rPr>
          <w:rFonts w:ascii="Times New Roman" w:eastAsia="MS Mincho" w:hAnsi="Times New Roman" w:cs="Times New Roman"/>
          <w:sz w:val="20"/>
          <w:szCs w:val="20"/>
        </w:rPr>
        <w:t xml:space="preserve">, </w:t>
      </w:r>
      <w:r w:rsidR="003971C5">
        <w:rPr>
          <w:rFonts w:ascii="Times New Roman" w:eastAsia="MS Mincho" w:hAnsi="Times New Roman" w:cs="Times New Roman"/>
          <w:sz w:val="20"/>
          <w:szCs w:val="20"/>
        </w:rPr>
        <w:t>to</w:t>
      </w:r>
      <w:r w:rsidR="00C53829">
        <w:rPr>
          <w:rFonts w:ascii="Times New Roman" w:eastAsia="MS Mincho" w:hAnsi="Times New Roman" w:cs="Times New Roman"/>
          <w:sz w:val="20"/>
          <w:szCs w:val="20"/>
        </w:rPr>
        <w:t xml:space="preserve"> defin</w:t>
      </w:r>
      <w:r w:rsidR="003971C5">
        <w:rPr>
          <w:rFonts w:ascii="Times New Roman" w:eastAsia="MS Mincho" w:hAnsi="Times New Roman" w:cs="Times New Roman"/>
          <w:sz w:val="20"/>
          <w:szCs w:val="20"/>
        </w:rPr>
        <w:t>e</w:t>
      </w:r>
      <w:r w:rsidR="00C53829">
        <w:rPr>
          <w:rFonts w:ascii="Times New Roman" w:eastAsia="MS Mincho" w:hAnsi="Times New Roman" w:cs="Times New Roman"/>
          <w:sz w:val="20"/>
          <w:szCs w:val="20"/>
        </w:rPr>
        <w:t xml:space="preserve"> multi-slot PDCCH monitoring capability</w:t>
      </w:r>
      <w:r w:rsidR="003971C5">
        <w:rPr>
          <w:rFonts w:ascii="Times New Roman" w:eastAsia="MS Mincho" w:hAnsi="Times New Roman" w:cs="Times New Roman"/>
          <w:sz w:val="20"/>
          <w:szCs w:val="20"/>
        </w:rPr>
        <w:t xml:space="preserve">, </w:t>
      </w:r>
      <w:r w:rsidR="00C53829">
        <w:rPr>
          <w:rFonts w:ascii="Times New Roman" w:eastAsia="MS Mincho" w:hAnsi="Times New Roman" w:cs="Times New Roman"/>
          <w:sz w:val="20"/>
          <w:szCs w:val="20"/>
        </w:rPr>
        <w:t xml:space="preserve">the following </w:t>
      </w:r>
      <w:r w:rsidR="00DE0827">
        <w:rPr>
          <w:rFonts w:ascii="Times New Roman" w:eastAsia="MS Mincho" w:hAnsi="Times New Roman" w:cs="Times New Roman"/>
          <w:sz w:val="20"/>
          <w:szCs w:val="20"/>
        </w:rPr>
        <w:t>three alternatives have been identified</w:t>
      </w:r>
      <w:r w:rsidR="003971C5">
        <w:rPr>
          <w:rFonts w:ascii="Times New Roman" w:eastAsia="MS Mincho" w:hAnsi="Times New Roman" w:cs="Times New Roman"/>
          <w:sz w:val="20"/>
          <w:szCs w:val="20"/>
        </w:rPr>
        <w:t>:</w:t>
      </w:r>
      <w:r w:rsidR="002673C8">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EA6B30" w14:paraId="170D3538" w14:textId="77777777" w:rsidTr="007D13FF">
        <w:tc>
          <w:tcPr>
            <w:tcW w:w="9629" w:type="dxa"/>
          </w:tcPr>
          <w:p w14:paraId="25E30441" w14:textId="77777777" w:rsidR="002673C8" w:rsidRPr="002673C8" w:rsidRDefault="002673C8" w:rsidP="002673C8">
            <w:pPr>
              <w:spacing w:after="0" w:line="240" w:lineRule="auto"/>
              <w:ind w:left="1440" w:hanging="1440"/>
              <w:rPr>
                <w:rFonts w:ascii="Times" w:eastAsia="Batang" w:hAnsi="Times" w:cs="Times New Roman"/>
                <w:sz w:val="20"/>
                <w:szCs w:val="24"/>
                <w:lang w:val="en-GB" w:eastAsia="x-none"/>
              </w:rPr>
            </w:pPr>
            <w:r w:rsidRPr="002673C8">
              <w:rPr>
                <w:rFonts w:ascii="Times" w:eastAsia="Batang" w:hAnsi="Times" w:cs="Times New Roman"/>
                <w:sz w:val="20"/>
                <w:szCs w:val="24"/>
                <w:highlight w:val="green"/>
                <w:lang w:val="en-GB" w:eastAsia="x-none"/>
              </w:rPr>
              <w:t>Agreement:</w:t>
            </w:r>
          </w:p>
          <w:p w14:paraId="1126F68D" w14:textId="77777777" w:rsidR="002673C8" w:rsidRPr="002673C8" w:rsidRDefault="002673C8" w:rsidP="002673C8">
            <w:pPr>
              <w:spacing w:after="0" w:line="240" w:lineRule="auto"/>
              <w:ind w:left="1440" w:hanging="1440"/>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Choose one of the following alternatives for defining the multi-slot PDCCH monitoring capability</w:t>
            </w:r>
          </w:p>
          <w:p w14:paraId="1ECD36E6" w14:textId="77777777" w:rsidR="002673C8" w:rsidRPr="002673C8" w:rsidRDefault="002673C8" w:rsidP="002673C8">
            <w:pPr>
              <w:numPr>
                <w:ilvl w:val="0"/>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 xml:space="preserve">Alt 1: A fixed pattern of N slots. </w:t>
            </w:r>
          </w:p>
          <w:p w14:paraId="41BFC775" w14:textId="77777777" w:rsidR="002673C8" w:rsidRPr="002673C8" w:rsidRDefault="002673C8" w:rsidP="002673C8">
            <w:pPr>
              <w:numPr>
                <w:ilvl w:val="0"/>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Alt 2: Use the Rel-16 capability (</w:t>
            </w:r>
            <w:r w:rsidRPr="002673C8">
              <w:rPr>
                <w:rFonts w:ascii="Times" w:eastAsia="Batang" w:hAnsi="Times" w:cs="Times New Roman"/>
                <w:i/>
                <w:iCs/>
                <w:sz w:val="20"/>
                <w:szCs w:val="24"/>
                <w:lang w:val="en-GB" w:eastAsia="x-none"/>
              </w:rPr>
              <w:t>pdcch-Monitoring-r16</w:t>
            </w:r>
            <w:r w:rsidRPr="002673C8">
              <w:rPr>
                <w:rFonts w:ascii="Times" w:eastAsia="Batang" w:hAnsi="Times" w:cs="Times New Roman"/>
                <w:sz w:val="20"/>
                <w:szCs w:val="24"/>
                <w:lang w:val="en-GB" w:eastAsia="x-none"/>
              </w:rPr>
              <w:t>, (X, Y) span) as the baseline to define the new capability</w:t>
            </w:r>
          </w:p>
          <w:p w14:paraId="7553AC4A" w14:textId="77777777" w:rsidR="002673C8" w:rsidRPr="002673C8" w:rsidRDefault="002673C8" w:rsidP="002673C8">
            <w:pPr>
              <w:numPr>
                <w:ilvl w:val="1"/>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 xml:space="preserve">FFS: Values of X and Y and units in which they are defined </w:t>
            </w:r>
          </w:p>
          <w:p w14:paraId="26059C74" w14:textId="77777777" w:rsidR="002673C8" w:rsidRPr="002673C8" w:rsidRDefault="002673C8" w:rsidP="002673C8">
            <w:pPr>
              <w:numPr>
                <w:ilvl w:val="1"/>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FFS: Whether number of slots within which the number of monitoring occasions is counted is needed and if needed, the value of the number of slots</w:t>
            </w:r>
          </w:p>
          <w:p w14:paraId="404FD480" w14:textId="77777777" w:rsidR="002673C8" w:rsidRPr="002673C8" w:rsidRDefault="002673C8" w:rsidP="002673C8">
            <w:pPr>
              <w:numPr>
                <w:ilvl w:val="0"/>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 xml:space="preserve">Alt 3: A sliding window of N slots for defining multi-slot PDCCH monitoring capability. </w:t>
            </w:r>
          </w:p>
          <w:p w14:paraId="5197FB7B" w14:textId="77777777" w:rsidR="002673C8" w:rsidRPr="002673C8" w:rsidRDefault="002673C8" w:rsidP="002673C8">
            <w:pPr>
              <w:numPr>
                <w:ilvl w:val="1"/>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FFS: Increments in which sliding occurs</w:t>
            </w:r>
          </w:p>
          <w:p w14:paraId="4E977460" w14:textId="77777777" w:rsidR="002673C8" w:rsidRPr="002673C8" w:rsidRDefault="002673C8" w:rsidP="002673C8">
            <w:pPr>
              <w:numPr>
                <w:ilvl w:val="0"/>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Specific numbers for X, Y and N may depend on UE capability and gNB configuration</w:t>
            </w:r>
          </w:p>
          <w:p w14:paraId="235866C9" w14:textId="77777777" w:rsidR="002673C8" w:rsidRPr="002673C8" w:rsidRDefault="002673C8" w:rsidP="002673C8">
            <w:pPr>
              <w:numPr>
                <w:ilvl w:val="1"/>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 xml:space="preserve">Examples: </w:t>
            </w:r>
          </w:p>
          <w:p w14:paraId="116BF3AE" w14:textId="77777777" w:rsidR="002673C8" w:rsidRPr="002673C8" w:rsidRDefault="002673C8" w:rsidP="002673C8">
            <w:pPr>
              <w:numPr>
                <w:ilvl w:val="2"/>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N = [4] slots for 480 kHz SCS and N = [8] slots for 960 kHz SCS</w:t>
            </w:r>
          </w:p>
          <w:p w14:paraId="757018B3" w14:textId="77777777" w:rsidR="002673C8" w:rsidRPr="002673C8" w:rsidRDefault="002673C8" w:rsidP="002673C8">
            <w:pPr>
              <w:numPr>
                <w:ilvl w:val="2"/>
                <w:numId w:val="42"/>
              </w:numPr>
              <w:snapToGrid w:val="0"/>
              <w:spacing w:after="0" w:line="240" w:lineRule="auto"/>
              <w:rPr>
                <w:rFonts w:ascii="Times" w:eastAsia="Batang" w:hAnsi="Times" w:cs="Times New Roman"/>
                <w:sz w:val="20"/>
                <w:szCs w:val="24"/>
                <w:lang w:val="en-GB" w:eastAsia="x-none"/>
              </w:rPr>
            </w:pPr>
            <w:r w:rsidRPr="002673C8">
              <w:rPr>
                <w:rFonts w:ascii="Times" w:eastAsia="Batang" w:hAnsi="Times" w:cs="Times New Roman"/>
                <w:sz w:val="20"/>
                <w:szCs w:val="24"/>
                <w:lang w:val="en-GB" w:eastAsia="x-none"/>
              </w:rPr>
              <w:t>X = [4] slots for 480 kHz SCS and X = [8] slots for 960 kHz SCS</w:t>
            </w:r>
          </w:p>
          <w:p w14:paraId="308FC88A" w14:textId="77777777" w:rsidR="00EA6B30" w:rsidRPr="002673C8" w:rsidRDefault="00EA6B30" w:rsidP="007D13FF">
            <w:pPr>
              <w:rPr>
                <w:rFonts w:ascii="Times New Roman" w:eastAsia="MS Mincho" w:hAnsi="Times New Roman" w:cs="Times New Roman"/>
                <w:sz w:val="20"/>
                <w:szCs w:val="20"/>
                <w:lang w:val="en-GB"/>
              </w:rPr>
            </w:pPr>
          </w:p>
        </w:tc>
      </w:tr>
    </w:tbl>
    <w:p w14:paraId="32BE7A69" w14:textId="3D18E72E" w:rsidR="001D2C0F" w:rsidRDefault="00A70E09" w:rsidP="008D41FD">
      <w:pPr>
        <w:rPr>
          <w:rFonts w:ascii="Times New Roman" w:hAnsi="Times New Roman" w:cs="Times New Roman"/>
          <w:sz w:val="20"/>
          <w:szCs w:val="20"/>
        </w:rPr>
      </w:pPr>
      <w:r>
        <w:rPr>
          <w:rFonts w:ascii="Times New Roman" w:eastAsia="MS Mincho" w:hAnsi="Times New Roman" w:cs="Times New Roman"/>
          <w:sz w:val="20"/>
          <w:szCs w:val="20"/>
        </w:rPr>
        <w:t xml:space="preserve"> </w:t>
      </w:r>
      <w:r w:rsidR="00332753">
        <w:rPr>
          <w:rFonts w:ascii="Times New Roman" w:hAnsi="Times New Roman" w:cs="Times New Roman"/>
          <w:sz w:val="20"/>
          <w:szCs w:val="20"/>
        </w:rPr>
        <w:t xml:space="preserve">  </w:t>
      </w:r>
    </w:p>
    <w:p w14:paraId="745CE2BB" w14:textId="183E63F5" w:rsidR="00393489" w:rsidRDefault="00377D1A" w:rsidP="008D41FD">
      <w:pPr>
        <w:rPr>
          <w:rFonts w:ascii="Times New Roman" w:hAnsi="Times New Roman" w:cs="Times New Roman"/>
          <w:sz w:val="20"/>
          <w:szCs w:val="20"/>
        </w:rPr>
      </w:pPr>
      <w:r>
        <w:rPr>
          <w:rFonts w:ascii="Times New Roman" w:hAnsi="Times New Roman" w:cs="Times New Roman"/>
          <w:sz w:val="20"/>
          <w:szCs w:val="20"/>
        </w:rPr>
        <w:t xml:space="preserve">Further discussion on these </w:t>
      </w:r>
      <w:r w:rsidR="00C94070">
        <w:rPr>
          <w:rFonts w:ascii="Times New Roman" w:hAnsi="Times New Roman" w:cs="Times New Roman"/>
          <w:sz w:val="20"/>
          <w:szCs w:val="20"/>
        </w:rPr>
        <w:t>alternatives have been carried out [1]</w:t>
      </w:r>
      <w:r w:rsidR="00251F92">
        <w:rPr>
          <w:rFonts w:ascii="Times New Roman" w:hAnsi="Times New Roman" w:cs="Times New Roman"/>
          <w:sz w:val="20"/>
          <w:szCs w:val="20"/>
        </w:rPr>
        <w:t>,</w:t>
      </w:r>
      <w:r w:rsidR="00C94070">
        <w:rPr>
          <w:rFonts w:ascii="Times New Roman" w:hAnsi="Times New Roman" w:cs="Times New Roman"/>
          <w:sz w:val="20"/>
          <w:szCs w:val="20"/>
        </w:rPr>
        <w:t xml:space="preserve"> </w:t>
      </w:r>
      <w:r w:rsidR="009169A2">
        <w:rPr>
          <w:rFonts w:ascii="Times New Roman" w:hAnsi="Times New Roman" w:cs="Times New Roman"/>
          <w:sz w:val="20"/>
          <w:szCs w:val="20"/>
        </w:rPr>
        <w:t xml:space="preserve">and </w:t>
      </w:r>
      <w:r w:rsidR="00132202">
        <w:rPr>
          <w:rFonts w:ascii="Times New Roman" w:hAnsi="Times New Roman" w:cs="Times New Roman"/>
          <w:sz w:val="20"/>
          <w:szCs w:val="20"/>
        </w:rPr>
        <w:t xml:space="preserve">after considering all comments from the companies </w:t>
      </w:r>
      <w:r w:rsidR="009169A2">
        <w:rPr>
          <w:rFonts w:ascii="Times New Roman" w:hAnsi="Times New Roman" w:cs="Times New Roman"/>
          <w:sz w:val="20"/>
          <w:szCs w:val="20"/>
        </w:rPr>
        <w:t>the Feature Lead suggest</w:t>
      </w:r>
      <w:r w:rsidR="00132202">
        <w:rPr>
          <w:rFonts w:ascii="Times New Roman" w:hAnsi="Times New Roman" w:cs="Times New Roman"/>
          <w:sz w:val="20"/>
          <w:szCs w:val="20"/>
        </w:rPr>
        <w:t>ed the following</w:t>
      </w:r>
      <w:r w:rsidR="00251F92">
        <w:rPr>
          <w:rFonts w:ascii="Times New Roman" w:hAnsi="Times New Roman" w:cs="Times New Roman"/>
          <w:sz w:val="20"/>
          <w:szCs w:val="20"/>
        </w:rPr>
        <w:t xml:space="preserve"> </w:t>
      </w:r>
      <w:r w:rsidR="00D4064E">
        <w:rPr>
          <w:rFonts w:ascii="Times New Roman" w:hAnsi="Times New Roman" w:cs="Times New Roman"/>
          <w:sz w:val="20"/>
          <w:szCs w:val="20"/>
        </w:rPr>
        <w:t xml:space="preserve">proposal </w:t>
      </w:r>
      <w:r w:rsidR="003908FF">
        <w:rPr>
          <w:rFonts w:ascii="Times New Roman" w:hAnsi="Times New Roman" w:cs="Times New Roman"/>
          <w:sz w:val="20"/>
          <w:szCs w:val="20"/>
        </w:rPr>
        <w:t>for more detailed description of the alternatives</w:t>
      </w:r>
      <w:r w:rsidR="00DD6042">
        <w:rPr>
          <w:rFonts w:ascii="Times New Roman" w:hAnsi="Times New Roman" w:cs="Times New Roman"/>
          <w:sz w:val="20"/>
          <w:szCs w:val="20"/>
        </w:rPr>
        <w:t xml:space="preserve"> (see</w:t>
      </w:r>
      <w:r w:rsidR="00680CD3">
        <w:rPr>
          <w:rFonts w:ascii="Times New Roman" w:hAnsi="Times New Roman" w:cs="Times New Roman"/>
          <w:sz w:val="20"/>
          <w:szCs w:val="20"/>
        </w:rPr>
        <w:t xml:space="preserve"> [1]</w:t>
      </w:r>
      <w:r w:rsidR="00DD6042">
        <w:rPr>
          <w:rFonts w:ascii="Times New Roman" w:hAnsi="Times New Roman" w:cs="Times New Roman"/>
          <w:sz w:val="20"/>
          <w:szCs w:val="20"/>
        </w:rPr>
        <w:t>)</w:t>
      </w:r>
      <w:r w:rsidR="00926D0E">
        <w:rPr>
          <w:rFonts w:ascii="Times New Roman" w:hAnsi="Times New Roman" w:cs="Times New Roman"/>
          <w:sz w:val="20"/>
          <w:szCs w:val="20"/>
        </w:rPr>
        <w:t xml:space="preserve">, which </w:t>
      </w:r>
      <w:r w:rsidR="00442AFA">
        <w:rPr>
          <w:rFonts w:ascii="Times New Roman" w:hAnsi="Times New Roman" w:cs="Times New Roman"/>
          <w:sz w:val="20"/>
          <w:szCs w:val="20"/>
        </w:rPr>
        <w:t>may serve</w:t>
      </w:r>
      <w:r w:rsidR="0040092A">
        <w:rPr>
          <w:rFonts w:ascii="Times New Roman" w:hAnsi="Times New Roman" w:cs="Times New Roman"/>
          <w:sz w:val="20"/>
          <w:szCs w:val="20"/>
        </w:rPr>
        <w:t xml:space="preserve"> a starting point for discussion </w:t>
      </w:r>
      <w:r w:rsidR="00393489">
        <w:rPr>
          <w:rFonts w:ascii="Times New Roman" w:hAnsi="Times New Roman" w:cs="Times New Roman"/>
          <w:sz w:val="20"/>
          <w:szCs w:val="20"/>
        </w:rPr>
        <w:t>i</w:t>
      </w:r>
      <w:r w:rsidR="0040092A">
        <w:rPr>
          <w:rFonts w:ascii="Times New Roman" w:hAnsi="Times New Roman" w:cs="Times New Roman"/>
          <w:sz w:val="20"/>
          <w:szCs w:val="20"/>
        </w:rPr>
        <w:t>n th</w:t>
      </w:r>
      <w:r w:rsidR="00393489">
        <w:rPr>
          <w:rFonts w:ascii="Times New Roman" w:hAnsi="Times New Roman" w:cs="Times New Roman"/>
          <w:sz w:val="20"/>
          <w:szCs w:val="20"/>
        </w:rPr>
        <w:t xml:space="preserve">is meeting. </w:t>
      </w:r>
    </w:p>
    <w:tbl>
      <w:tblPr>
        <w:tblStyle w:val="TableGrid"/>
        <w:tblW w:w="0" w:type="auto"/>
        <w:tblLook w:val="04A0" w:firstRow="1" w:lastRow="0" w:firstColumn="1" w:lastColumn="0" w:noHBand="0" w:noVBand="1"/>
      </w:tblPr>
      <w:tblGrid>
        <w:gridCol w:w="9629"/>
      </w:tblGrid>
      <w:tr w:rsidR="00393489" w14:paraId="4B846C8D" w14:textId="77777777" w:rsidTr="00393489">
        <w:tc>
          <w:tcPr>
            <w:tcW w:w="9629" w:type="dxa"/>
          </w:tcPr>
          <w:p w14:paraId="1DFAD04C" w14:textId="77777777" w:rsidR="00A10A65" w:rsidRPr="00A10A65" w:rsidRDefault="00A10A65" w:rsidP="00A10A65">
            <w:pPr>
              <w:autoSpaceDE w:val="0"/>
              <w:autoSpaceDN w:val="0"/>
              <w:adjustRightInd w:val="0"/>
              <w:snapToGrid w:val="0"/>
              <w:spacing w:after="120"/>
              <w:rPr>
                <w:rFonts w:ascii="Times" w:eastAsia="Batang" w:hAnsi="Times" w:cs="Times New Roman"/>
                <w:sz w:val="20"/>
                <w:szCs w:val="24"/>
                <w:lang w:val="en-GB" w:eastAsia="x-none"/>
              </w:rPr>
            </w:pPr>
            <w:r w:rsidRPr="00A10A65">
              <w:rPr>
                <w:rFonts w:ascii="Times" w:eastAsia="Batang" w:hAnsi="Times" w:cs="Times New Roman"/>
                <w:sz w:val="20"/>
                <w:szCs w:val="24"/>
                <w:highlight w:val="yellow"/>
                <w:lang w:val="en-GB" w:eastAsia="x-none"/>
              </w:rPr>
              <w:t>Modified Feature Lead Proposal A1-5:</w:t>
            </w:r>
          </w:p>
          <w:p w14:paraId="3A15BE51" w14:textId="77777777" w:rsidR="00A10A65" w:rsidRPr="00A10A65" w:rsidRDefault="00A10A65" w:rsidP="00A10A65">
            <w:pPr>
              <w:autoSpaceDE w:val="0"/>
              <w:autoSpaceDN w:val="0"/>
              <w:adjustRightInd w:val="0"/>
              <w:snapToGrid w:val="0"/>
              <w:spacing w:after="120"/>
              <w:ind w:left="1440" w:hanging="144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Proposed modification of agreement:</w:t>
            </w:r>
          </w:p>
          <w:p w14:paraId="6F32EC12" w14:textId="77777777" w:rsidR="00A10A65" w:rsidRPr="00A10A65" w:rsidRDefault="00A10A65" w:rsidP="00A10A65">
            <w:pPr>
              <w:autoSpaceDE w:val="0"/>
              <w:autoSpaceDN w:val="0"/>
              <w:adjustRightInd w:val="0"/>
              <w:snapToGrid w:val="0"/>
              <w:spacing w:after="120"/>
              <w:ind w:left="1440" w:hanging="144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Choose one of the following alternatives for defining the multi-slot PDCCH monitoring capability</w:t>
            </w:r>
          </w:p>
          <w:p w14:paraId="0F97715E" w14:textId="77777777" w:rsidR="00A10A65" w:rsidRPr="00A10A65" w:rsidRDefault="00A10A65" w:rsidP="00A10A65">
            <w:pPr>
              <w:numPr>
                <w:ilvl w:val="0"/>
                <w:numId w:val="42"/>
              </w:numPr>
              <w:autoSpaceDE w:val="0"/>
              <w:autoSpaceDN w:val="0"/>
              <w:adjustRightInd w:val="0"/>
              <w:snapToGrid w:val="0"/>
              <w:spacing w:after="0"/>
              <w:rPr>
                <w:rFonts w:ascii="Calibri" w:eastAsia="SimSun" w:hAnsi="Calibri" w:cs="Times New Roman"/>
                <w:lang w:eastAsia="en-US"/>
              </w:rPr>
            </w:pPr>
            <w:r w:rsidRPr="00A10A65">
              <w:rPr>
                <w:rFonts w:ascii="Times" w:eastAsia="Batang" w:hAnsi="Times" w:cs="Times New Roman"/>
                <w:sz w:val="20"/>
                <w:szCs w:val="24"/>
                <w:lang w:val="en-GB" w:eastAsia="x-none"/>
              </w:rPr>
              <w:t>Alt 1: Use a fixed pattern of slot groups as the baseline to define the new capability</w:t>
            </w:r>
            <w:r w:rsidRPr="00A10A65">
              <w:rPr>
                <w:rFonts w:ascii="Calibri" w:eastAsia="SimSun" w:hAnsi="Calibri" w:cs="Times New Roman"/>
                <w:lang w:eastAsia="en-US"/>
              </w:rPr>
              <w:t xml:space="preserve">. </w:t>
            </w:r>
          </w:p>
          <w:p w14:paraId="3FE4DC52"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Each slot group consists of X slots</w:t>
            </w:r>
          </w:p>
          <w:p w14:paraId="49E4FFF8"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Slot groups are consecutive and non-overlapping</w:t>
            </w:r>
          </w:p>
          <w:p w14:paraId="713CA030"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The capability indicates the BD/CCE budget within Y consecutive [symbols or slots] in each slot group</w:t>
            </w:r>
          </w:p>
          <w:p w14:paraId="3DDA3C23"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FFS: Supported values/constraints of X and Y, e.g. Y&lt;=X, Y=X</w:t>
            </w:r>
          </w:p>
          <w:p w14:paraId="7841D75D"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FFS: Restrictions on location of the Y [symbols or slots] within a slot group, e.g. the Y [symbols or slots] always start at the first slot within a slot group</w:t>
            </w:r>
          </w:p>
          <w:p w14:paraId="10F00406"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FFS: Capability definition within a slot if Y is in the unit of slots</w:t>
            </w:r>
          </w:p>
          <w:p w14:paraId="62D709C2" w14:textId="77777777" w:rsidR="00A10A65" w:rsidRPr="00A10A65" w:rsidRDefault="00A10A65" w:rsidP="00A10A65">
            <w:pPr>
              <w:numPr>
                <w:ilvl w:val="0"/>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Alt 2: Use an (X, Y) span as the baseline to define the new capability</w:t>
            </w:r>
          </w:p>
          <w:p w14:paraId="6E9E3E6D"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lastRenderedPageBreak/>
              <w:t>X is the minimum time separation between the start of two consecutive spans</w:t>
            </w:r>
          </w:p>
          <w:p w14:paraId="47CDCB77"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 xml:space="preserve">The capability indicates the BD/CCE budget within a span of at most Y consecutive [symbols or slots] </w:t>
            </w:r>
          </w:p>
          <w:p w14:paraId="3D03756A"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Y &lt;= X</w:t>
            </w:r>
          </w:p>
          <w:p w14:paraId="48BC2D89"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 xml:space="preserve">FFS: Exact values of X and Y and units in which they are defined (e.g., symbols, slots), including cases where a span is longer than one slot or crosses a slot boundary. </w:t>
            </w:r>
          </w:p>
          <w:p w14:paraId="762BCC4A"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 xml:space="preserve">FFS: What is a span pattern, how it is defined and whether it is supported. If it is supported, whether number of slots within which the span pattern is repeated is needed, and if needed, the value of the number of slots. </w:t>
            </w:r>
          </w:p>
          <w:p w14:paraId="094925D4" w14:textId="77777777" w:rsidR="00A10A65" w:rsidRPr="00A10A65" w:rsidRDefault="00A10A65" w:rsidP="00A10A65">
            <w:pPr>
              <w:numPr>
                <w:ilvl w:val="0"/>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 xml:space="preserve">Alt 3: Use a sliding window of X slots as the baseline to define the new capability. </w:t>
            </w:r>
          </w:p>
          <w:p w14:paraId="563CDBB4"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The capability indicates the BD/CCE budget within the sliding window</w:t>
            </w:r>
          </w:p>
          <w:p w14:paraId="77C5703D"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 xml:space="preserve"> The sliding unit of the sliding window is [1] slot.</w:t>
            </w:r>
          </w:p>
          <w:p w14:paraId="6C6FCAEB" w14:textId="77777777" w:rsidR="00A10A65" w:rsidRPr="00A10A65" w:rsidRDefault="00A10A65" w:rsidP="00A10A65">
            <w:pPr>
              <w:numPr>
                <w:ilvl w:val="1"/>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FFS: Capability definition within a slot</w:t>
            </w:r>
          </w:p>
          <w:p w14:paraId="17C895D4" w14:textId="77777777" w:rsidR="00A10A65" w:rsidRPr="00A10A65" w:rsidRDefault="00A10A65" w:rsidP="00A10A65">
            <w:pPr>
              <w:numPr>
                <w:ilvl w:val="0"/>
                <w:numId w:val="42"/>
              </w:numPr>
              <w:autoSpaceDE w:val="0"/>
              <w:autoSpaceDN w:val="0"/>
              <w:adjustRightInd w:val="0"/>
              <w:snapToGrid w:val="0"/>
              <w:spacing w:after="0"/>
              <w:rPr>
                <w:rFonts w:ascii="Times" w:eastAsia="Batang" w:hAnsi="Times" w:cs="Times New Roman"/>
                <w:sz w:val="20"/>
                <w:szCs w:val="24"/>
                <w:lang w:val="en-GB" w:eastAsia="x-none"/>
              </w:rPr>
            </w:pPr>
            <w:r w:rsidRPr="00A10A65">
              <w:rPr>
                <w:rFonts w:ascii="Times" w:eastAsia="Batang" w:hAnsi="Times" w:cs="Times New Roman"/>
                <w:sz w:val="20"/>
                <w:szCs w:val="24"/>
                <w:lang w:val="en-GB" w:eastAsia="x-none"/>
              </w:rPr>
              <w:t>Specific numbers for X, Y may depend on UE capability and gNB configuration</w:t>
            </w:r>
          </w:p>
          <w:p w14:paraId="613864EB" w14:textId="77777777" w:rsidR="00393489" w:rsidRDefault="00393489" w:rsidP="008D41FD">
            <w:pPr>
              <w:rPr>
                <w:rFonts w:ascii="Times New Roman" w:hAnsi="Times New Roman" w:cs="Times New Roman"/>
                <w:sz w:val="20"/>
                <w:szCs w:val="20"/>
              </w:rPr>
            </w:pPr>
          </w:p>
        </w:tc>
      </w:tr>
    </w:tbl>
    <w:p w14:paraId="1DB30FBE" w14:textId="77777777" w:rsidR="00393489" w:rsidRDefault="00393489" w:rsidP="008D41FD">
      <w:pPr>
        <w:rPr>
          <w:rFonts w:ascii="Times New Roman" w:hAnsi="Times New Roman" w:cs="Times New Roman"/>
          <w:sz w:val="20"/>
          <w:szCs w:val="20"/>
        </w:rPr>
      </w:pPr>
    </w:p>
    <w:p w14:paraId="7F69ACC5" w14:textId="3C05B82C" w:rsidR="00794C6A" w:rsidRDefault="0038759A" w:rsidP="008D41FD">
      <w:pPr>
        <w:rPr>
          <w:rFonts w:ascii="Times New Roman" w:hAnsi="Times New Roman" w:cs="Times New Roman"/>
          <w:sz w:val="20"/>
          <w:szCs w:val="20"/>
        </w:rPr>
      </w:pPr>
      <w:r>
        <w:rPr>
          <w:rFonts w:ascii="Times New Roman" w:hAnsi="Times New Roman" w:cs="Times New Roman"/>
          <w:sz w:val="20"/>
          <w:szCs w:val="20"/>
        </w:rPr>
        <w:t>In this document, we pro</w:t>
      </w:r>
      <w:r w:rsidR="00BE3A64">
        <w:rPr>
          <w:rFonts w:ascii="Times New Roman" w:hAnsi="Times New Roman" w:cs="Times New Roman"/>
          <w:sz w:val="20"/>
          <w:szCs w:val="20"/>
        </w:rPr>
        <w:t xml:space="preserve">vide our views on these alternatives. </w:t>
      </w:r>
    </w:p>
    <w:p w14:paraId="64DE4112" w14:textId="259DA405" w:rsidR="005E1602" w:rsidRDefault="00DE1161" w:rsidP="005E1602">
      <w:pPr>
        <w:pStyle w:val="Heading1"/>
        <w:rPr>
          <w:lang w:val="en-US"/>
        </w:rPr>
      </w:pPr>
      <w:r>
        <w:rPr>
          <w:lang w:val="en-US"/>
        </w:rPr>
        <w:t>Discussion</w:t>
      </w:r>
    </w:p>
    <w:p w14:paraId="2BAA1E4C" w14:textId="3C667248" w:rsidR="00B107CE" w:rsidRPr="00B107CE" w:rsidRDefault="00B107CE" w:rsidP="00B107CE">
      <w:pPr>
        <w:pStyle w:val="Heading2"/>
        <w:rPr>
          <w:sz w:val="28"/>
          <w:szCs w:val="28"/>
        </w:rPr>
      </w:pPr>
      <w:r w:rsidRPr="00B107CE">
        <w:rPr>
          <w:sz w:val="28"/>
          <w:szCs w:val="28"/>
        </w:rPr>
        <w:t>Alt 1</w:t>
      </w:r>
    </w:p>
    <w:p w14:paraId="7329A8CA" w14:textId="123DA263" w:rsidR="004961D3" w:rsidRDefault="001D64D3"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As captured by Feature Lead Proposal A1-5 (see previous section), the intention of Alt 1 is to use a fixed pattern of slot groups as the baseline to define the multi-slot PDCCH monitoring capability. </w:t>
      </w:r>
      <w:r w:rsidR="005321E1">
        <w:rPr>
          <w:rFonts w:ascii="Times New Roman" w:eastAsia="Malgun Gothic" w:hAnsi="Times New Roman" w:cs="Times New Roman"/>
          <w:sz w:val="20"/>
          <w:szCs w:val="20"/>
          <w:lang w:eastAsia="ko-KR"/>
        </w:rPr>
        <w:t xml:space="preserve">The slot group consists of a fixed number of slots (denoted as X), and the slot groups are consecutive and non-overlapping. </w:t>
      </w:r>
      <w:r w:rsidR="004961D3">
        <w:rPr>
          <w:rFonts w:ascii="Times New Roman" w:eastAsia="Malgun Gothic" w:hAnsi="Times New Roman" w:cs="Times New Roman"/>
          <w:sz w:val="20"/>
          <w:szCs w:val="20"/>
          <w:lang w:eastAsia="ko-KR"/>
        </w:rPr>
        <w:t xml:space="preserve">The BD/CCE budget is indicated within Y consecutive symbols or slots in each slot group as UE capability. </w:t>
      </w:r>
      <w:r w:rsidR="008D511A">
        <w:rPr>
          <w:rFonts w:ascii="Times New Roman" w:eastAsia="Malgun Gothic" w:hAnsi="Times New Roman" w:cs="Times New Roman"/>
          <w:sz w:val="20"/>
          <w:szCs w:val="20"/>
          <w:lang w:eastAsia="ko-KR"/>
        </w:rPr>
        <w:t>The merit of this method is the simplicity, compared to other alternatives. But as analyzed below, more details need to be figured out before going for Alt 1.</w:t>
      </w:r>
    </w:p>
    <w:p w14:paraId="67FC2616" w14:textId="647DA0CC" w:rsidR="004961D3" w:rsidRDefault="004961D3"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the </w:t>
      </w:r>
      <w:r w:rsidR="008D511A">
        <w:rPr>
          <w:rFonts w:ascii="Times New Roman" w:eastAsia="Malgun Gothic" w:hAnsi="Times New Roman" w:cs="Times New Roman"/>
          <w:sz w:val="20"/>
          <w:szCs w:val="20"/>
          <w:lang w:eastAsia="ko-KR"/>
        </w:rPr>
        <w:t xml:space="preserve">first </w:t>
      </w:r>
      <w:r>
        <w:rPr>
          <w:rFonts w:ascii="Times New Roman" w:eastAsia="Malgun Gothic" w:hAnsi="Times New Roman" w:cs="Times New Roman"/>
          <w:sz w:val="20"/>
          <w:szCs w:val="20"/>
          <w:lang w:eastAsia="ko-KR"/>
        </w:rPr>
        <w:t xml:space="preserve">FFS point of the relation between Y and X, we think the case </w:t>
      </w:r>
      <w:r w:rsidR="008D511A">
        <w:rPr>
          <w:rFonts w:ascii="Times New Roman" w:eastAsia="Malgun Gothic" w:hAnsi="Times New Roman" w:cs="Times New Roman"/>
          <w:sz w:val="20"/>
          <w:szCs w:val="20"/>
          <w:lang w:eastAsia="ko-KR"/>
        </w:rPr>
        <w:t>of</w:t>
      </w:r>
      <w:r>
        <w:rPr>
          <w:rFonts w:ascii="Times New Roman" w:eastAsia="Malgun Gothic" w:hAnsi="Times New Roman" w:cs="Times New Roman"/>
          <w:sz w:val="20"/>
          <w:szCs w:val="20"/>
          <w:lang w:eastAsia="ko-KR"/>
        </w:rPr>
        <w:t xml:space="preserve"> Y&lt;X should be allowed, meaning that UE is allowed to monitor</w:t>
      </w:r>
      <w:r w:rsidR="008D511A">
        <w:rPr>
          <w:rFonts w:ascii="Times New Roman" w:eastAsia="Malgun Gothic" w:hAnsi="Times New Roman" w:cs="Times New Roman"/>
          <w:sz w:val="20"/>
          <w:szCs w:val="20"/>
          <w:lang w:eastAsia="ko-KR"/>
        </w:rPr>
        <w:t xml:space="preserve"> only part of the slots/symbols</w:t>
      </w:r>
      <w:r>
        <w:rPr>
          <w:rFonts w:ascii="Times New Roman" w:eastAsia="Malgun Gothic" w:hAnsi="Times New Roman" w:cs="Times New Roman"/>
          <w:sz w:val="20"/>
          <w:szCs w:val="20"/>
          <w:lang w:eastAsia="ko-KR"/>
        </w:rPr>
        <w:t xml:space="preserve"> within </w:t>
      </w:r>
      <w:r w:rsidR="008D511A">
        <w:rPr>
          <w:rFonts w:ascii="Times New Roman" w:eastAsia="Malgun Gothic" w:hAnsi="Times New Roman" w:cs="Times New Roman"/>
          <w:sz w:val="20"/>
          <w:szCs w:val="20"/>
          <w:lang w:eastAsia="ko-KR"/>
        </w:rPr>
        <w:t>the group of X slots</w:t>
      </w:r>
      <w:r>
        <w:rPr>
          <w:rFonts w:ascii="Times New Roman" w:eastAsia="Malgun Gothic" w:hAnsi="Times New Roman" w:cs="Times New Roman"/>
          <w:sz w:val="20"/>
          <w:szCs w:val="20"/>
          <w:lang w:eastAsia="ko-KR"/>
        </w:rPr>
        <w:t xml:space="preserve">. </w:t>
      </w:r>
      <w:r w:rsidR="008D511A">
        <w:rPr>
          <w:rFonts w:ascii="Times New Roman" w:eastAsia="Malgun Gothic" w:hAnsi="Times New Roman" w:cs="Times New Roman"/>
          <w:sz w:val="20"/>
          <w:szCs w:val="20"/>
          <w:lang w:eastAsia="ko-KR"/>
        </w:rPr>
        <w:t xml:space="preserve">This is important for reducing the UE PDCCH monitoring burden. </w:t>
      </w:r>
    </w:p>
    <w:p w14:paraId="7F2DC5EA" w14:textId="3247EE36" w:rsidR="004961D3" w:rsidRDefault="0055209D"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If the case Y&lt;X is allowed, the follow-up question would be whether there is a restriction on location of Y within X (i.e. second FFS of Alt 1). In our view, there should be such a restriction. Otherwise, the back-to-back monitoring demand can happen between the boundary of slot groups, as mentioned by [2]. The following figure is taken from [2] where X=4 and Y=1, without restriction of the location of Y. As shown in this example,</w:t>
      </w:r>
      <w:r w:rsidR="00144E87">
        <w:rPr>
          <w:rFonts w:ascii="Times New Roman" w:eastAsia="Malgun Gothic" w:hAnsi="Times New Roman" w:cs="Times New Roman"/>
          <w:sz w:val="20"/>
          <w:szCs w:val="20"/>
          <w:lang w:eastAsia="ko-KR"/>
        </w:rPr>
        <w:t xml:space="preserve"> gNB may configure all BD/CCE budget in Slot A and Slot B respective in two slot groups. However, such back-to-back monitoring is obviously more demanding compared to the case where Y </w:t>
      </w:r>
      <w:r w:rsidR="00042D97">
        <w:rPr>
          <w:rFonts w:ascii="Times New Roman" w:eastAsia="Malgun Gothic" w:hAnsi="Times New Roman" w:cs="Times New Roman"/>
          <w:sz w:val="20"/>
          <w:szCs w:val="20"/>
          <w:lang w:eastAsia="ko-KR"/>
        </w:rPr>
        <w:t>has fixed location and therefore are</w:t>
      </w:r>
      <w:r w:rsidR="00144E87">
        <w:rPr>
          <w:rFonts w:ascii="Times New Roman" w:eastAsia="Malgun Gothic" w:hAnsi="Times New Roman" w:cs="Times New Roman"/>
          <w:sz w:val="20"/>
          <w:szCs w:val="20"/>
          <w:lang w:eastAsia="ko-KR"/>
        </w:rPr>
        <w:t xml:space="preserve"> well separated</w:t>
      </w:r>
      <w:r w:rsidR="00042D97">
        <w:rPr>
          <w:rFonts w:ascii="Times New Roman" w:eastAsia="Malgun Gothic" w:hAnsi="Times New Roman" w:cs="Times New Roman"/>
          <w:sz w:val="20"/>
          <w:szCs w:val="20"/>
          <w:lang w:eastAsia="ko-KR"/>
        </w:rPr>
        <w:t xml:space="preserve"> across different slot groups</w:t>
      </w:r>
      <w:r w:rsidR="00144E87">
        <w:rPr>
          <w:rFonts w:ascii="Times New Roman" w:eastAsia="Malgun Gothic" w:hAnsi="Times New Roman" w:cs="Times New Roman"/>
          <w:sz w:val="20"/>
          <w:szCs w:val="20"/>
          <w:lang w:eastAsia="ko-KR"/>
        </w:rPr>
        <w:t xml:space="preserve"> (e.g. always located at the beginning of X).  </w:t>
      </w:r>
      <w:r>
        <w:rPr>
          <w:rFonts w:ascii="Times New Roman" w:eastAsia="Malgun Gothic" w:hAnsi="Times New Roman" w:cs="Times New Roman"/>
          <w:sz w:val="20"/>
          <w:szCs w:val="20"/>
          <w:lang w:eastAsia="ko-KR"/>
        </w:rPr>
        <w:t xml:space="preserve"> </w:t>
      </w:r>
    </w:p>
    <w:p w14:paraId="5F58ABA3" w14:textId="5A2332A3" w:rsidR="004961D3" w:rsidRDefault="00B52B71" w:rsidP="00B52B71">
      <w:pPr>
        <w:jc w:val="center"/>
        <w:rPr>
          <w:rFonts w:ascii="Times New Roman" w:eastAsia="Malgun Gothic" w:hAnsi="Times New Roman" w:cs="Times New Roman"/>
          <w:sz w:val="20"/>
          <w:szCs w:val="20"/>
          <w:lang w:eastAsia="ko-KR"/>
        </w:rPr>
      </w:pPr>
      <w:r>
        <w:object w:dxaOrig="11026" w:dyaOrig="2551" w14:anchorId="25F1F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99.35pt" o:ole="">
            <v:imagedata r:id="rId11" o:title=""/>
          </v:shape>
          <o:OLEObject Type="Embed" ProgID="Visio.Drawing.15" ShapeID="_x0000_i1025" DrawAspect="Content" ObjectID="_1678777097" r:id="rId12"/>
        </w:object>
      </w:r>
    </w:p>
    <w:p w14:paraId="7853124C" w14:textId="35ADCC57" w:rsidR="00B52B71" w:rsidRDefault="00A77D48" w:rsidP="008B0AB7">
      <w:pPr>
        <w:jc w:val="cente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Figure 1. </w:t>
      </w:r>
      <w:r w:rsidR="008B0AB7">
        <w:rPr>
          <w:rFonts w:ascii="Times New Roman" w:eastAsia="Malgun Gothic" w:hAnsi="Times New Roman" w:cs="Times New Roman"/>
          <w:sz w:val="20"/>
          <w:szCs w:val="20"/>
          <w:lang w:eastAsia="ko-KR"/>
        </w:rPr>
        <w:t>Back-to-back monitoring across different slot groups [2]</w:t>
      </w:r>
    </w:p>
    <w:p w14:paraId="7930FAB5" w14:textId="6C66A8C3" w:rsidR="00B91D5D" w:rsidRDefault="00442997"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 the other hand, if Y is fixed within X, </w:t>
      </w:r>
      <w:r w:rsidR="00FE3C42">
        <w:rPr>
          <w:rFonts w:ascii="Times New Roman" w:eastAsia="Malgun Gothic" w:hAnsi="Times New Roman" w:cs="Times New Roman"/>
          <w:sz w:val="20"/>
          <w:szCs w:val="20"/>
          <w:lang w:eastAsia="ko-KR"/>
        </w:rPr>
        <w:t xml:space="preserve">the pattern of slot groups might need to be aligned with the TDD DL/UL slot patterns, if semi-static configured DL/UL slot patterns are supported in above 52.6GHz. Otherwise, </w:t>
      </w:r>
      <w:r>
        <w:rPr>
          <w:rFonts w:ascii="Times New Roman" w:eastAsia="Malgun Gothic" w:hAnsi="Times New Roman" w:cs="Times New Roman"/>
          <w:sz w:val="20"/>
          <w:szCs w:val="20"/>
          <w:lang w:eastAsia="ko-KR"/>
        </w:rPr>
        <w:t xml:space="preserve">the position of Y might end up with overlapping with UL slots, which makes the potential BD/CCE budget useless. </w:t>
      </w:r>
    </w:p>
    <w:p w14:paraId="3965374D" w14:textId="4F83E372" w:rsidR="00442997" w:rsidRDefault="00442997"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see </w:t>
      </w:r>
      <w:r w:rsidR="00042D97">
        <w:rPr>
          <w:rFonts w:ascii="Times New Roman" w:eastAsia="Malgun Gothic" w:hAnsi="Times New Roman" w:cs="Times New Roman"/>
          <w:sz w:val="20"/>
          <w:szCs w:val="20"/>
          <w:lang w:eastAsia="ko-KR"/>
        </w:rPr>
        <w:t xml:space="preserve">that </w:t>
      </w:r>
      <w:r>
        <w:rPr>
          <w:rFonts w:ascii="Times New Roman" w:eastAsia="Malgun Gothic" w:hAnsi="Times New Roman" w:cs="Times New Roman"/>
          <w:sz w:val="20"/>
          <w:szCs w:val="20"/>
          <w:lang w:eastAsia="ko-KR"/>
        </w:rPr>
        <w:t xml:space="preserve">such dilemma comes from the nature of Alt 1 relying on a fixed pattern. Therefore, Alt 1 is not preferable. </w:t>
      </w:r>
    </w:p>
    <w:p w14:paraId="4DA134C4" w14:textId="75F72172" w:rsidR="001D64D3" w:rsidRPr="00B107CE" w:rsidRDefault="00B107CE" w:rsidP="00B107CE">
      <w:pPr>
        <w:pStyle w:val="Heading2"/>
        <w:rPr>
          <w:sz w:val="28"/>
          <w:szCs w:val="28"/>
        </w:rPr>
      </w:pPr>
      <w:r w:rsidRPr="00B107CE">
        <w:rPr>
          <w:sz w:val="28"/>
          <w:szCs w:val="28"/>
        </w:rPr>
        <w:lastRenderedPageBreak/>
        <w:t>Alt 2</w:t>
      </w:r>
    </w:p>
    <w:p w14:paraId="3F64E521" w14:textId="77777777" w:rsidR="00487621" w:rsidRDefault="00132876" w:rsidP="00A83FA6">
      <w:pPr>
        <w:rPr>
          <w:rFonts w:ascii="Times New Roman" w:eastAsia="MS Mincho" w:hAnsi="Times New Roman" w:cs="Times New Roman"/>
          <w:sz w:val="20"/>
          <w:szCs w:val="20"/>
        </w:rPr>
      </w:pPr>
      <w:r>
        <w:rPr>
          <w:rFonts w:ascii="Times New Roman" w:eastAsia="MS Mincho" w:hAnsi="Times New Roman" w:cs="Times New Roman"/>
          <w:sz w:val="20"/>
          <w:szCs w:val="20"/>
        </w:rPr>
        <w:t>Alt 2 has more flexibility compared to Alt 1.</w:t>
      </w:r>
      <w:r w:rsidR="0053701A">
        <w:rPr>
          <w:rFonts w:ascii="Times New Roman" w:eastAsia="MS Mincho" w:hAnsi="Times New Roman" w:cs="Times New Roman"/>
          <w:sz w:val="20"/>
          <w:szCs w:val="20"/>
        </w:rPr>
        <w:t xml:space="preserve"> The idea is to generalize the Rel-16 PDCCH monitoring capability defined by a span (X,Y) within a slot to a multi-slot span. Here X is the minimum time separation between the start of two consecutive spans, and Y is the maximum duration of a span. This method provides UE a tool to reduce the PDCCH monitoring effort, e.g. by indicating a X value </w:t>
      </w:r>
      <w:r w:rsidR="00487621">
        <w:rPr>
          <w:rFonts w:ascii="Times New Roman" w:eastAsia="MS Mincho" w:hAnsi="Times New Roman" w:cs="Times New Roman"/>
          <w:sz w:val="20"/>
          <w:szCs w:val="20"/>
        </w:rPr>
        <w:t xml:space="preserve">that is </w:t>
      </w:r>
      <w:r w:rsidR="0053701A">
        <w:rPr>
          <w:rFonts w:ascii="Times New Roman" w:eastAsia="MS Mincho" w:hAnsi="Times New Roman" w:cs="Times New Roman"/>
          <w:sz w:val="20"/>
          <w:szCs w:val="20"/>
        </w:rPr>
        <w:t xml:space="preserve">larger than Y. Furthermore, unlike the </w:t>
      </w:r>
      <w:r w:rsidR="00487621">
        <w:rPr>
          <w:rFonts w:ascii="Times New Roman" w:eastAsia="MS Mincho" w:hAnsi="Times New Roman" w:cs="Times New Roman"/>
          <w:sz w:val="20"/>
          <w:szCs w:val="20"/>
        </w:rPr>
        <w:t xml:space="preserve">Alt 1 relying on a fixed pattern, the span defined by (X,Y) can be flexibly located in time, Therefore, Alt 2 is more favorable. </w:t>
      </w:r>
    </w:p>
    <w:p w14:paraId="0371A269" w14:textId="37A52DB4" w:rsidR="001D64D3" w:rsidRDefault="00487621" w:rsidP="00A83FA6">
      <w:pPr>
        <w:rPr>
          <w:rFonts w:ascii="Times New Roman" w:eastAsia="MS Mincho" w:hAnsi="Times New Roman" w:cs="Times New Roman"/>
          <w:sz w:val="20"/>
          <w:szCs w:val="20"/>
        </w:rPr>
      </w:pPr>
      <w:r>
        <w:rPr>
          <w:rFonts w:ascii="Times New Roman" w:eastAsia="MS Mincho" w:hAnsi="Times New Roman" w:cs="Times New Roman"/>
          <w:sz w:val="20"/>
          <w:szCs w:val="20"/>
        </w:rPr>
        <w:t>In the previous meeting, the main concern for Alt 2 was that it might impose scheduling limitation from network side</w:t>
      </w:r>
      <w:r w:rsidR="0070170A">
        <w:rPr>
          <w:rFonts w:ascii="Times New Roman" w:eastAsia="MS Mincho" w:hAnsi="Times New Roman" w:cs="Times New Roman"/>
          <w:sz w:val="20"/>
          <w:szCs w:val="20"/>
        </w:rPr>
        <w:t xml:space="preserve"> in order to align CSS for different UEs but at the same time to confine USS within the spans of duration Y. The following Figure 2 illustrates such difficulty. </w:t>
      </w:r>
      <w:r>
        <w:rPr>
          <w:rFonts w:ascii="Times New Roman" w:eastAsia="MS Mincho" w:hAnsi="Times New Roman" w:cs="Times New Roman"/>
          <w:sz w:val="20"/>
          <w:szCs w:val="20"/>
        </w:rPr>
        <w:t xml:space="preserve">  </w:t>
      </w:r>
    </w:p>
    <w:p w14:paraId="22EAB444" w14:textId="0268A32E" w:rsidR="001D64D3" w:rsidRDefault="001D64D3" w:rsidP="009940B0">
      <w:pPr>
        <w:jc w:val="center"/>
        <w:rPr>
          <w:rFonts w:ascii="Times New Roman" w:eastAsia="MS Mincho" w:hAnsi="Times New Roman" w:cs="Times New Roman"/>
          <w:sz w:val="20"/>
          <w:szCs w:val="20"/>
        </w:rPr>
      </w:pPr>
    </w:p>
    <w:p w14:paraId="4DCA46DE" w14:textId="5E4498BE" w:rsidR="005B4508" w:rsidRDefault="005B4508" w:rsidP="009940B0">
      <w:pPr>
        <w:jc w:val="center"/>
        <w:rPr>
          <w:rFonts w:ascii="Times New Roman" w:eastAsia="MS Mincho" w:hAnsi="Times New Roman" w:cs="Times New Roman"/>
          <w:sz w:val="20"/>
          <w:szCs w:val="20"/>
        </w:rPr>
      </w:pPr>
      <w:r>
        <w:object w:dxaOrig="9816" w:dyaOrig="4332" w14:anchorId="2F9B0EDC">
          <v:shape id="_x0000_i1027" type="#_x0000_t75" style="width:407.85pt;height:180pt" o:ole="">
            <v:imagedata r:id="rId13" o:title=""/>
          </v:shape>
          <o:OLEObject Type="Embed" ProgID="Visio.Drawing.15" ShapeID="_x0000_i1027" DrawAspect="Content" ObjectID="_1678777098" r:id="rId14"/>
        </w:object>
      </w:r>
    </w:p>
    <w:p w14:paraId="5648144B" w14:textId="3133D28E" w:rsidR="001D64D3" w:rsidRDefault="009940B0" w:rsidP="009940B0">
      <w:pPr>
        <w:jc w:val="center"/>
        <w:rPr>
          <w:rFonts w:ascii="Times New Roman" w:eastAsia="MS Mincho" w:hAnsi="Times New Roman" w:cs="Times New Roman"/>
          <w:sz w:val="20"/>
          <w:szCs w:val="20"/>
        </w:rPr>
      </w:pPr>
      <w:bookmarkStart w:id="1" w:name="_GoBack"/>
      <w:bookmarkEnd w:id="1"/>
      <w:r>
        <w:rPr>
          <w:rFonts w:ascii="Times New Roman" w:eastAsia="MS Mincho" w:hAnsi="Times New Roman" w:cs="Times New Roman"/>
          <w:sz w:val="20"/>
          <w:szCs w:val="20"/>
        </w:rPr>
        <w:t xml:space="preserve">Figure 2. Illustration of </w:t>
      </w:r>
      <w:r w:rsidR="00445924">
        <w:rPr>
          <w:rFonts w:ascii="Times New Roman" w:eastAsia="MS Mincho" w:hAnsi="Times New Roman" w:cs="Times New Roman"/>
          <w:sz w:val="20"/>
          <w:szCs w:val="20"/>
        </w:rPr>
        <w:t>aligning CSS for different UEs</w:t>
      </w:r>
    </w:p>
    <w:p w14:paraId="0CE5DF44" w14:textId="59E90336" w:rsidR="00715934" w:rsidRDefault="00715934" w:rsidP="0071593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As shown in Figure 2, network has to configure USS for UE1 within the same </w:t>
      </w:r>
      <w:r w:rsidR="002511E0">
        <w:rPr>
          <w:rFonts w:ascii="Times New Roman" w:eastAsia="MS Mincho" w:hAnsi="Times New Roman" w:cs="Times New Roman"/>
          <w:sz w:val="20"/>
          <w:szCs w:val="20"/>
        </w:rPr>
        <w:t>symbols</w:t>
      </w:r>
      <w:r>
        <w:rPr>
          <w:rFonts w:ascii="Times New Roman" w:eastAsia="MS Mincho" w:hAnsi="Times New Roman" w:cs="Times New Roman"/>
          <w:sz w:val="20"/>
          <w:szCs w:val="20"/>
        </w:rPr>
        <w:t xml:space="preserve"> as CSS because UE1 indicates (X=4</w:t>
      </w:r>
      <w:r w:rsidR="002511E0">
        <w:rPr>
          <w:rFonts w:ascii="Times New Roman" w:eastAsia="MS Mincho" w:hAnsi="Times New Roman" w:cs="Times New Roman"/>
          <w:sz w:val="20"/>
          <w:szCs w:val="20"/>
        </w:rPr>
        <w:t xml:space="preserve"> slots or 56 symbols</w:t>
      </w:r>
      <w:r>
        <w:rPr>
          <w:rFonts w:ascii="Times New Roman" w:eastAsia="MS Mincho" w:hAnsi="Times New Roman" w:cs="Times New Roman"/>
          <w:sz w:val="20"/>
          <w:szCs w:val="20"/>
        </w:rPr>
        <w:t>, Y=</w:t>
      </w:r>
      <w:r w:rsidR="002511E0">
        <w:rPr>
          <w:rFonts w:ascii="Times New Roman" w:eastAsia="MS Mincho" w:hAnsi="Times New Roman" w:cs="Times New Roman"/>
          <w:sz w:val="20"/>
          <w:szCs w:val="20"/>
        </w:rPr>
        <w:t>3 symbols</w:t>
      </w:r>
      <w:r>
        <w:rPr>
          <w:rFonts w:ascii="Times New Roman" w:eastAsia="MS Mincho" w:hAnsi="Times New Roman" w:cs="Times New Roman"/>
          <w:sz w:val="20"/>
          <w:szCs w:val="20"/>
        </w:rPr>
        <w:t>)</w:t>
      </w:r>
      <w:r w:rsidR="002511E0">
        <w:rPr>
          <w:rFonts w:ascii="Times New Roman" w:eastAsia="MS Mincho" w:hAnsi="Times New Roman" w:cs="Times New Roman"/>
          <w:sz w:val="20"/>
          <w:szCs w:val="20"/>
        </w:rPr>
        <w:t xml:space="preserve"> assuming CSS has 3 symbols</w:t>
      </w:r>
      <w:r>
        <w:rPr>
          <w:rFonts w:ascii="Times New Roman" w:eastAsia="MS Mincho" w:hAnsi="Times New Roman" w:cs="Times New Roman"/>
          <w:sz w:val="20"/>
          <w:szCs w:val="20"/>
        </w:rPr>
        <w:t xml:space="preserve">, and for UE2, USS can be </w:t>
      </w:r>
      <w:r w:rsidR="002511E0">
        <w:rPr>
          <w:rFonts w:ascii="Times New Roman" w:eastAsia="MS Mincho" w:hAnsi="Times New Roman" w:cs="Times New Roman"/>
          <w:sz w:val="20"/>
          <w:szCs w:val="20"/>
        </w:rPr>
        <w:t xml:space="preserve">located in other symbols than the symbols </w:t>
      </w:r>
      <w:r>
        <w:rPr>
          <w:rFonts w:ascii="Times New Roman" w:eastAsia="MS Mincho" w:hAnsi="Times New Roman" w:cs="Times New Roman"/>
          <w:sz w:val="20"/>
          <w:szCs w:val="20"/>
        </w:rPr>
        <w:t>containing CSS, because the span duration for UE2 is Y=</w:t>
      </w:r>
      <w:r w:rsidR="002511E0">
        <w:rPr>
          <w:rFonts w:ascii="Times New Roman" w:eastAsia="MS Mincho" w:hAnsi="Times New Roman" w:cs="Times New Roman"/>
          <w:sz w:val="20"/>
          <w:szCs w:val="20"/>
        </w:rPr>
        <w:t>14 symbols</w:t>
      </w:r>
      <w:r>
        <w:rPr>
          <w:rFonts w:ascii="Times New Roman" w:eastAsia="MS Mincho" w:hAnsi="Times New Roman" w:cs="Times New Roman"/>
          <w:sz w:val="20"/>
          <w:szCs w:val="20"/>
        </w:rPr>
        <w:t xml:space="preserve">. In both cases, it is not possible to make use of, e.g. slots </w:t>
      </w:r>
      <w:r w:rsidR="002511E0">
        <w:rPr>
          <w:rFonts w:ascii="Times New Roman" w:eastAsia="MS Mincho" w:hAnsi="Times New Roman" w:cs="Times New Roman"/>
          <w:sz w:val="20"/>
          <w:szCs w:val="20"/>
        </w:rPr>
        <w:t xml:space="preserve">#1, </w:t>
      </w:r>
      <w:r>
        <w:rPr>
          <w:rFonts w:ascii="Times New Roman" w:eastAsia="MS Mincho" w:hAnsi="Times New Roman" w:cs="Times New Roman"/>
          <w:sz w:val="20"/>
          <w:szCs w:val="20"/>
        </w:rPr>
        <w:t>#2, #3 for load balancing.</w:t>
      </w:r>
    </w:p>
    <w:p w14:paraId="168C1CFE" w14:textId="69DDFFD8" w:rsidR="002511E0" w:rsidRDefault="005D710B" w:rsidP="0071593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Regarding the above issue, </w:t>
      </w:r>
      <w:r w:rsidR="00023DBC">
        <w:rPr>
          <w:rFonts w:ascii="Times New Roman" w:eastAsia="MS Mincho" w:hAnsi="Times New Roman" w:cs="Times New Roman"/>
          <w:sz w:val="20"/>
          <w:szCs w:val="20"/>
        </w:rPr>
        <w:t>w</w:t>
      </w:r>
      <w:r w:rsidR="00715934">
        <w:rPr>
          <w:rFonts w:ascii="Times New Roman" w:eastAsia="MS Mincho" w:hAnsi="Times New Roman" w:cs="Times New Roman"/>
          <w:sz w:val="20"/>
          <w:szCs w:val="20"/>
        </w:rPr>
        <w:t xml:space="preserve">e acknowledge the </w:t>
      </w:r>
      <w:r w:rsidR="00023DBC">
        <w:rPr>
          <w:rFonts w:ascii="Times New Roman" w:eastAsia="MS Mincho" w:hAnsi="Times New Roman" w:cs="Times New Roman"/>
          <w:sz w:val="20"/>
          <w:szCs w:val="20"/>
        </w:rPr>
        <w:t xml:space="preserve">potential </w:t>
      </w:r>
      <w:r w:rsidR="00715934">
        <w:rPr>
          <w:rFonts w:ascii="Times New Roman" w:eastAsia="MS Mincho" w:hAnsi="Times New Roman" w:cs="Times New Roman"/>
          <w:sz w:val="20"/>
          <w:szCs w:val="20"/>
        </w:rPr>
        <w:t xml:space="preserve">limitation shown in Figure 2, but we think it is just the tradeoff between UE’s accessibility and complexity (or power efficiency). If UE has </w:t>
      </w:r>
      <w:r w:rsidR="00E64CCA">
        <w:rPr>
          <w:rFonts w:ascii="Times New Roman" w:eastAsia="MS Mincho" w:hAnsi="Times New Roman" w:cs="Times New Roman"/>
          <w:sz w:val="20"/>
          <w:szCs w:val="20"/>
        </w:rPr>
        <w:t xml:space="preserve">indicated </w:t>
      </w:r>
      <w:r w:rsidR="00715934">
        <w:rPr>
          <w:rFonts w:ascii="Times New Roman" w:eastAsia="MS Mincho" w:hAnsi="Times New Roman" w:cs="Times New Roman"/>
          <w:sz w:val="20"/>
          <w:szCs w:val="20"/>
        </w:rPr>
        <w:t xml:space="preserve">low capability of PDCCH monitoring (e.g. due to power saving or complexity </w:t>
      </w:r>
      <w:r>
        <w:rPr>
          <w:rFonts w:ascii="Times New Roman" w:eastAsia="MS Mincho" w:hAnsi="Times New Roman" w:cs="Times New Roman"/>
          <w:sz w:val="20"/>
          <w:szCs w:val="20"/>
        </w:rPr>
        <w:t>constraint</w:t>
      </w:r>
      <w:r w:rsidR="00715934">
        <w:rPr>
          <w:rFonts w:ascii="Times New Roman" w:eastAsia="MS Mincho" w:hAnsi="Times New Roman" w:cs="Times New Roman"/>
          <w:sz w:val="20"/>
          <w:szCs w:val="20"/>
        </w:rPr>
        <w:t xml:space="preserve">) such as UE1, </w:t>
      </w:r>
      <w:r w:rsidR="00E64CCA">
        <w:rPr>
          <w:rFonts w:ascii="Times New Roman" w:eastAsia="MS Mincho" w:hAnsi="Times New Roman" w:cs="Times New Roman"/>
          <w:sz w:val="20"/>
          <w:szCs w:val="20"/>
        </w:rPr>
        <w:t xml:space="preserve">it is natural to assume that UE does not have low latency requirement. Then it would be acceptable for the UE to miss some scheduling opportunity in the congestion case. On the other hand, if UE indicates Y=X, network can freely allocate USS without constraints. For such UE, the PDCCH monitoring effort is higher but the scheduling delay would be reduced. </w:t>
      </w:r>
      <w:r>
        <w:rPr>
          <w:rFonts w:ascii="Times New Roman" w:eastAsia="MS Mincho" w:hAnsi="Times New Roman" w:cs="Times New Roman"/>
          <w:sz w:val="20"/>
          <w:szCs w:val="20"/>
        </w:rPr>
        <w:t>Overall, Alt 2 provides sufficiently flexible framework to meet different UE capabilities</w:t>
      </w:r>
      <w:r w:rsidR="00023DBC">
        <w:rPr>
          <w:rFonts w:ascii="Times New Roman" w:eastAsia="MS Mincho" w:hAnsi="Times New Roman" w:cs="Times New Roman"/>
          <w:sz w:val="20"/>
          <w:szCs w:val="20"/>
        </w:rPr>
        <w:t xml:space="preserve"> and therefore can be supported</w:t>
      </w:r>
      <w:r>
        <w:rPr>
          <w:rFonts w:ascii="Times New Roman" w:eastAsia="MS Mincho" w:hAnsi="Times New Roman" w:cs="Times New Roman"/>
          <w:sz w:val="20"/>
          <w:szCs w:val="20"/>
        </w:rPr>
        <w:t xml:space="preserve">. </w:t>
      </w:r>
    </w:p>
    <w:p w14:paraId="40E72680" w14:textId="04AD03C6" w:rsidR="00445924" w:rsidRDefault="002511E0" w:rsidP="00715934">
      <w:pPr>
        <w:rPr>
          <w:rFonts w:ascii="Times New Roman" w:eastAsia="MS Mincho" w:hAnsi="Times New Roman" w:cs="Times New Roman"/>
          <w:sz w:val="20"/>
          <w:szCs w:val="20"/>
        </w:rPr>
      </w:pPr>
      <w:r>
        <w:rPr>
          <w:rFonts w:ascii="Times New Roman" w:eastAsia="MS Mincho" w:hAnsi="Times New Roman" w:cs="Times New Roman"/>
          <w:sz w:val="20"/>
          <w:szCs w:val="20"/>
        </w:rPr>
        <w:t>On further details of unit of Y, a simpler approach is to define Y in the unit of symbols</w:t>
      </w:r>
      <w:r w:rsidR="00E15ED0">
        <w:rPr>
          <w:rFonts w:ascii="Times New Roman" w:eastAsia="MS Mincho" w:hAnsi="Times New Roman" w:cs="Times New Roman"/>
          <w:sz w:val="20"/>
          <w:szCs w:val="20"/>
        </w:rPr>
        <w:t>, in the sense that UE is required to monitor only one span within the window X</w:t>
      </w:r>
      <w:r>
        <w:rPr>
          <w:rFonts w:ascii="Times New Roman" w:eastAsia="MS Mincho" w:hAnsi="Times New Roman" w:cs="Times New Roman"/>
          <w:sz w:val="20"/>
          <w:szCs w:val="20"/>
        </w:rPr>
        <w:t xml:space="preserve">. If Y is defined in the unit of slots, </w:t>
      </w:r>
      <w:r w:rsidR="00E15ED0">
        <w:rPr>
          <w:rFonts w:ascii="Times New Roman" w:eastAsia="MS Mincho" w:hAnsi="Times New Roman" w:cs="Times New Roman"/>
          <w:sz w:val="20"/>
          <w:szCs w:val="20"/>
        </w:rPr>
        <w:t xml:space="preserve">it could happen that within duration of Y there are multiple spans of consecutive symbols, which further complicates the capability definition. On the other hand, for the unit of X, it would be acceptable either in slots or in symbols. </w:t>
      </w:r>
    </w:p>
    <w:p w14:paraId="6B170450" w14:textId="2F8276DC" w:rsidR="001D64D3" w:rsidRPr="00023DBC" w:rsidRDefault="00023DBC" w:rsidP="00023DBC">
      <w:pPr>
        <w:pStyle w:val="Heading2"/>
        <w:rPr>
          <w:sz w:val="28"/>
          <w:szCs w:val="28"/>
        </w:rPr>
      </w:pPr>
      <w:r w:rsidRPr="00023DBC">
        <w:rPr>
          <w:sz w:val="28"/>
          <w:szCs w:val="28"/>
        </w:rPr>
        <w:t>Alt 3</w:t>
      </w:r>
    </w:p>
    <w:p w14:paraId="34B6F25E" w14:textId="7C767188" w:rsidR="001D64D3" w:rsidRDefault="000110C1" w:rsidP="00A83FA6">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Alt 3 uses a sliding window of X slots to define the capability. </w:t>
      </w:r>
      <w:r w:rsidR="00FC77BC">
        <w:rPr>
          <w:rFonts w:ascii="Times New Roman" w:eastAsia="MS Mincho" w:hAnsi="Times New Roman" w:cs="Times New Roman"/>
          <w:sz w:val="20"/>
          <w:szCs w:val="20"/>
        </w:rPr>
        <w:t>The sliding unit of the sliding window is [1] slot. For this method, it is unclear whether the sliding unit is also a parameter for capability indication or not. If not, i</w:t>
      </w:r>
      <w:r>
        <w:rPr>
          <w:rFonts w:ascii="Times New Roman" w:eastAsia="MS Mincho" w:hAnsi="Times New Roman" w:cs="Times New Roman"/>
          <w:sz w:val="20"/>
          <w:szCs w:val="20"/>
        </w:rPr>
        <w:t xml:space="preserve">It does not provide a way for UE to indicate the reduced PDCCH monitoring capability. In other words, it mandate that UE has to prepare to monitor every slot of X. We see that it is intended to </w:t>
      </w:r>
      <w:r w:rsidR="00593DD1">
        <w:rPr>
          <w:rFonts w:ascii="Times New Roman" w:eastAsia="MS Mincho" w:hAnsi="Times New Roman" w:cs="Times New Roman"/>
          <w:sz w:val="20"/>
          <w:szCs w:val="20"/>
        </w:rPr>
        <w:t>maximize the flexibility from the network side</w:t>
      </w:r>
      <w:r>
        <w:rPr>
          <w:rFonts w:ascii="Times New Roman" w:eastAsia="MS Mincho" w:hAnsi="Times New Roman" w:cs="Times New Roman"/>
          <w:sz w:val="20"/>
          <w:szCs w:val="20"/>
        </w:rPr>
        <w:t xml:space="preserve">, but the benefit of defining multi-slot span for reducing UE PDCCH monitoring effort is gone. </w:t>
      </w:r>
      <w:r w:rsidR="001D1BBD">
        <w:rPr>
          <w:rFonts w:ascii="Times New Roman" w:eastAsia="MS Mincho" w:hAnsi="Times New Roman" w:cs="Times New Roman"/>
          <w:sz w:val="20"/>
          <w:szCs w:val="20"/>
        </w:rPr>
        <w:t xml:space="preserve">On the other hand, if sliding unit is also indicated as capability, the low capability UE can indicate the sliding unit larger than X to ensure a gap between two consecutive monitoring windows. In such case, it would be more preferable to have sliding unit in terms of symbols. </w:t>
      </w:r>
      <w:r w:rsidR="00593DD1">
        <w:rPr>
          <w:rFonts w:ascii="Times New Roman" w:eastAsia="MS Mincho" w:hAnsi="Times New Roman" w:cs="Times New Roman"/>
          <w:sz w:val="20"/>
          <w:szCs w:val="20"/>
        </w:rPr>
        <w:t xml:space="preserve">Therefore, Alt 3 </w:t>
      </w:r>
      <w:r w:rsidR="001D1BBD">
        <w:rPr>
          <w:rFonts w:ascii="Times New Roman" w:eastAsia="MS Mincho" w:hAnsi="Times New Roman" w:cs="Times New Roman"/>
          <w:sz w:val="20"/>
          <w:szCs w:val="20"/>
        </w:rPr>
        <w:t>needs further clarification</w:t>
      </w:r>
      <w:r w:rsidR="00593DD1">
        <w:rPr>
          <w:rFonts w:ascii="Times New Roman" w:eastAsia="MS Mincho" w:hAnsi="Times New Roman" w:cs="Times New Roman"/>
          <w:sz w:val="20"/>
          <w:szCs w:val="20"/>
        </w:rPr>
        <w:t xml:space="preserve">. </w:t>
      </w:r>
    </w:p>
    <w:p w14:paraId="76C644F1" w14:textId="7CC8BEF2" w:rsidR="001D64D3" w:rsidRDefault="002E22FC" w:rsidP="00A83FA6">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Based on the above analysis, we have the following proposal</w:t>
      </w:r>
    </w:p>
    <w:p w14:paraId="56FE5EA3" w14:textId="777B299E" w:rsidR="001A6C9A" w:rsidRPr="00FF2AFA" w:rsidRDefault="001A6C9A" w:rsidP="00972534">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sidR="002E22FC">
        <w:rPr>
          <w:rFonts w:ascii="Times New Roman" w:eastAsia="Malgun Gothic" w:hAnsi="Times New Roman" w:cs="Times New Roman"/>
          <w:b/>
          <w:bCs/>
          <w:sz w:val="20"/>
          <w:szCs w:val="20"/>
          <w:lang w:eastAsia="ko-KR"/>
        </w:rPr>
        <w:t>1</w:t>
      </w:r>
      <w:r w:rsidRPr="00FF2AFA">
        <w:rPr>
          <w:rFonts w:ascii="Times New Roman" w:eastAsia="Malgun Gothic" w:hAnsi="Times New Roman" w:cs="Times New Roman"/>
          <w:b/>
          <w:bCs/>
          <w:sz w:val="20"/>
          <w:szCs w:val="20"/>
          <w:lang w:eastAsia="ko-KR"/>
        </w:rPr>
        <w:t xml:space="preserve">: </w:t>
      </w:r>
      <w:r w:rsidR="002E22FC">
        <w:rPr>
          <w:rFonts w:ascii="Times New Roman" w:eastAsia="Malgun Gothic" w:hAnsi="Times New Roman" w:cs="Times New Roman"/>
          <w:b/>
          <w:bCs/>
          <w:sz w:val="20"/>
          <w:szCs w:val="20"/>
          <w:lang w:eastAsia="ko-KR"/>
        </w:rPr>
        <w:t xml:space="preserve">Select Alt 2 for defining </w:t>
      </w:r>
      <w:r w:rsidR="002E22FC" w:rsidRPr="002E22FC">
        <w:rPr>
          <w:rFonts w:ascii="Times New Roman" w:eastAsia="Malgun Gothic" w:hAnsi="Times New Roman" w:cs="Times New Roman"/>
          <w:b/>
          <w:bCs/>
          <w:sz w:val="20"/>
          <w:szCs w:val="20"/>
          <w:lang w:eastAsia="ko-KR"/>
        </w:rPr>
        <w:t>the multi-slot PDCCH monitoring capability</w:t>
      </w:r>
      <w:r w:rsidR="002E22FC">
        <w:rPr>
          <w:rFonts w:ascii="Times New Roman" w:eastAsia="Malgun Gothic" w:hAnsi="Times New Roman" w:cs="Times New Roman"/>
          <w:b/>
          <w:bCs/>
          <w:sz w:val="20"/>
          <w:szCs w:val="20"/>
          <w:lang w:eastAsia="ko-KR"/>
        </w:rPr>
        <w:t xml:space="preserve">. </w:t>
      </w:r>
    </w:p>
    <w:p w14:paraId="2F4737F6" w14:textId="77777777" w:rsidR="0076703F" w:rsidRPr="00D748D5" w:rsidRDefault="0076703F" w:rsidP="00D748D5">
      <w:pPr>
        <w:spacing w:beforeLines="50" w:before="120"/>
        <w:rPr>
          <w:rFonts w:ascii="Times New Roman" w:eastAsia="MS Mincho" w:hAnsi="Times New Roman" w:cs="Times New Roman"/>
          <w:b/>
          <w:bCs/>
          <w:sz w:val="20"/>
          <w:szCs w:val="20"/>
        </w:rPr>
      </w:pPr>
    </w:p>
    <w:p w14:paraId="17F07279" w14:textId="77777777" w:rsidR="00903172" w:rsidRPr="00957B23" w:rsidRDefault="00903172" w:rsidP="00F138BE">
      <w:pPr>
        <w:spacing w:beforeLines="50" w:before="120"/>
        <w:rPr>
          <w:rFonts w:ascii="Times New Roman" w:eastAsia="MS Mincho" w:hAnsi="Times New Roman" w:cs="Times New Roman"/>
          <w:sz w:val="20"/>
          <w:szCs w:val="20"/>
        </w:rPr>
      </w:pPr>
    </w:p>
    <w:p w14:paraId="7B9DC8D0" w14:textId="195B56B3" w:rsidR="000B009F" w:rsidRDefault="000B009F" w:rsidP="000B009F">
      <w:pPr>
        <w:pStyle w:val="Heading1"/>
        <w:rPr>
          <w:lang w:val="en-US"/>
        </w:rPr>
      </w:pPr>
      <w:r>
        <w:rPr>
          <w:lang w:val="en-US"/>
        </w:rPr>
        <w:t>Conclusion</w:t>
      </w:r>
    </w:p>
    <w:p w14:paraId="1BEC8ABF" w14:textId="6031D5DE" w:rsidR="001325F5"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 xml:space="preserve">In this paper, we have </w:t>
      </w:r>
      <w:r w:rsidR="002E22FC">
        <w:rPr>
          <w:rFonts w:ascii="Times New Roman" w:eastAsia="MS Mincho" w:hAnsi="Times New Roman" w:cs="Times New Roman"/>
          <w:sz w:val="20"/>
          <w:szCs w:val="20"/>
        </w:rPr>
        <w:t>analyzed the three alternatives for defining multi-slot span monitoring capability</w:t>
      </w:r>
      <w:r w:rsidR="001325F5">
        <w:rPr>
          <w:rFonts w:ascii="Times New Roman" w:eastAsia="MS Mincho" w:hAnsi="Times New Roman" w:cs="Times New Roman"/>
          <w:sz w:val="20"/>
          <w:szCs w:val="20"/>
        </w:rPr>
        <w:t>.</w:t>
      </w:r>
      <w:r w:rsidR="002E22FC">
        <w:rPr>
          <w:rFonts w:ascii="Times New Roman" w:eastAsia="MS Mincho" w:hAnsi="Times New Roman" w:cs="Times New Roman"/>
          <w:sz w:val="20"/>
          <w:szCs w:val="20"/>
        </w:rPr>
        <w:t xml:space="preserve"> We propose the following:</w:t>
      </w:r>
    </w:p>
    <w:p w14:paraId="59AC4AFD" w14:textId="77777777" w:rsidR="002E22FC" w:rsidRPr="00FF2AFA" w:rsidRDefault="002E22FC" w:rsidP="002E22FC">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b/>
          <w:bCs/>
          <w:sz w:val="20"/>
          <w:szCs w:val="20"/>
          <w:lang w:eastAsia="ko-KR"/>
        </w:rPr>
        <w:t>1</w:t>
      </w:r>
      <w:r w:rsidRPr="00FF2AFA">
        <w:rPr>
          <w:rFonts w:ascii="Times New Roman" w:eastAsia="Malgun Gothic" w:hAnsi="Times New Roman" w:cs="Times New Roman"/>
          <w:b/>
          <w:bCs/>
          <w:sz w:val="20"/>
          <w:szCs w:val="20"/>
          <w:lang w:eastAsia="ko-KR"/>
        </w:rPr>
        <w:t xml:space="preserve">: </w:t>
      </w:r>
      <w:r>
        <w:rPr>
          <w:rFonts w:ascii="Times New Roman" w:eastAsia="Malgun Gothic" w:hAnsi="Times New Roman" w:cs="Times New Roman"/>
          <w:b/>
          <w:bCs/>
          <w:sz w:val="20"/>
          <w:szCs w:val="20"/>
          <w:lang w:eastAsia="ko-KR"/>
        </w:rPr>
        <w:t xml:space="preserve">Select Alt 2 for defining </w:t>
      </w:r>
      <w:r w:rsidRPr="002E22FC">
        <w:rPr>
          <w:rFonts w:ascii="Times New Roman" w:eastAsia="Malgun Gothic" w:hAnsi="Times New Roman" w:cs="Times New Roman"/>
          <w:b/>
          <w:bCs/>
          <w:sz w:val="20"/>
          <w:szCs w:val="20"/>
          <w:lang w:eastAsia="ko-KR"/>
        </w:rPr>
        <w:t>the multi-slot PDCCH monitoring capability</w:t>
      </w:r>
      <w:r>
        <w:rPr>
          <w:rFonts w:ascii="Times New Roman" w:eastAsia="Malgun Gothic" w:hAnsi="Times New Roman" w:cs="Times New Roman"/>
          <w:b/>
          <w:bCs/>
          <w:sz w:val="20"/>
          <w:szCs w:val="20"/>
          <w:lang w:eastAsia="ko-KR"/>
        </w:rPr>
        <w:t xml:space="preserve">. </w:t>
      </w:r>
    </w:p>
    <w:p w14:paraId="56A1C95F" w14:textId="1DA0E4BF" w:rsidR="000B009F" w:rsidRPr="008170C4" w:rsidRDefault="000B009F" w:rsidP="000B009F">
      <w:pPr>
        <w:rPr>
          <w:rFonts w:ascii="Times New Roman" w:eastAsia="MS Mincho" w:hAnsi="Times New Roman" w:cs="Times New Roman"/>
          <w:sz w:val="20"/>
          <w:szCs w:val="20"/>
        </w:rPr>
      </w:pPr>
    </w:p>
    <w:p w14:paraId="57409F3D" w14:textId="6ADA4752" w:rsidR="002E22FC" w:rsidRDefault="002E22FC" w:rsidP="002E22FC">
      <w:pPr>
        <w:pStyle w:val="Heading1"/>
        <w:rPr>
          <w:lang w:val="en-US"/>
        </w:rPr>
      </w:pPr>
      <w:r>
        <w:rPr>
          <w:lang w:val="en-US"/>
        </w:rPr>
        <w:t>Reference</w:t>
      </w:r>
    </w:p>
    <w:p w14:paraId="12CFFD7C" w14:textId="2A37E7D2" w:rsidR="00F7543E" w:rsidRDefault="009270AA" w:rsidP="001A471B">
      <w:pPr>
        <w:rPr>
          <w:rFonts w:ascii="Times New Roman" w:hAnsi="Times New Roman" w:cs="Times New Roman"/>
          <w:sz w:val="20"/>
          <w:szCs w:val="20"/>
        </w:rPr>
      </w:pPr>
      <w:r>
        <w:rPr>
          <w:rFonts w:ascii="Times New Roman" w:hAnsi="Times New Roman" w:cs="Times New Roman"/>
          <w:sz w:val="20"/>
          <w:szCs w:val="20"/>
        </w:rPr>
        <w:t xml:space="preserve">[1] </w:t>
      </w:r>
      <w:r w:rsidRPr="009270AA">
        <w:rPr>
          <w:rFonts w:ascii="Times New Roman" w:hAnsi="Times New Roman" w:cs="Times New Roman"/>
          <w:sz w:val="20"/>
          <w:szCs w:val="20"/>
        </w:rPr>
        <w:t>R1-2102242</w:t>
      </w:r>
      <w:r w:rsidR="00C11712">
        <w:rPr>
          <w:rFonts w:ascii="Times New Roman" w:hAnsi="Times New Roman" w:cs="Times New Roman"/>
          <w:sz w:val="20"/>
          <w:szCs w:val="20"/>
        </w:rPr>
        <w:t xml:space="preserve">  </w:t>
      </w:r>
      <w:r w:rsidRPr="009270AA">
        <w:rPr>
          <w:rFonts w:ascii="Times New Roman" w:hAnsi="Times New Roman" w:cs="Times New Roman"/>
          <w:sz w:val="20"/>
          <w:szCs w:val="20"/>
        </w:rPr>
        <w:t>Feature lead summary#2</w:t>
      </w:r>
      <w:r>
        <w:rPr>
          <w:rFonts w:ascii="Times New Roman" w:hAnsi="Times New Roman" w:cs="Times New Roman"/>
          <w:sz w:val="20"/>
          <w:szCs w:val="20"/>
        </w:rPr>
        <w:t>,</w:t>
      </w:r>
      <w:r w:rsidRPr="009270AA">
        <w:rPr>
          <w:rFonts w:ascii="Times New Roman" w:hAnsi="Times New Roman" w:cs="Times New Roman"/>
          <w:sz w:val="20"/>
          <w:szCs w:val="20"/>
        </w:rPr>
        <w:t xml:space="preserve"> Moderator (Lenovo)</w:t>
      </w:r>
      <w:r>
        <w:rPr>
          <w:rFonts w:ascii="Times New Roman" w:hAnsi="Times New Roman" w:cs="Times New Roman"/>
          <w:sz w:val="20"/>
          <w:szCs w:val="20"/>
        </w:rPr>
        <w:t>, RAN1#104e</w:t>
      </w:r>
    </w:p>
    <w:p w14:paraId="7D267D27" w14:textId="0B3C7A99" w:rsidR="009270AA" w:rsidRPr="00773BAA" w:rsidRDefault="009270AA" w:rsidP="001A471B">
      <w:pPr>
        <w:rPr>
          <w:rFonts w:ascii="Times New Roman" w:hAnsi="Times New Roman" w:cs="Times New Roman"/>
          <w:sz w:val="20"/>
          <w:szCs w:val="20"/>
        </w:rPr>
      </w:pPr>
      <w:r>
        <w:rPr>
          <w:rFonts w:ascii="Times New Roman" w:hAnsi="Times New Roman" w:cs="Times New Roman"/>
          <w:sz w:val="20"/>
          <w:szCs w:val="20"/>
        </w:rPr>
        <w:t xml:space="preserve">[2] </w:t>
      </w:r>
      <w:r w:rsidR="00C11712" w:rsidRPr="00C11712">
        <w:rPr>
          <w:rFonts w:ascii="Times New Roman" w:hAnsi="Times New Roman" w:cs="Times New Roman"/>
          <w:sz w:val="20"/>
          <w:szCs w:val="20"/>
        </w:rPr>
        <w:t>R1-2100644</w:t>
      </w:r>
      <w:r w:rsidR="00C11712">
        <w:rPr>
          <w:rFonts w:ascii="Times New Roman" w:hAnsi="Times New Roman" w:cs="Times New Roman"/>
          <w:sz w:val="20"/>
          <w:szCs w:val="20"/>
        </w:rPr>
        <w:t xml:space="preserve">  </w:t>
      </w:r>
      <w:r w:rsidR="00C11712" w:rsidRPr="00C11712">
        <w:rPr>
          <w:rFonts w:ascii="Times New Roman" w:hAnsi="Times New Roman" w:cs="Times New Roman"/>
          <w:sz w:val="20"/>
          <w:szCs w:val="20"/>
        </w:rPr>
        <w:t>Discussion on PDCCH monitoring enhancements for extending NR up to 71 GHz</w:t>
      </w:r>
      <w:r w:rsidR="00C11712">
        <w:rPr>
          <w:rFonts w:ascii="Times New Roman" w:hAnsi="Times New Roman" w:cs="Times New Roman"/>
          <w:sz w:val="20"/>
          <w:szCs w:val="20"/>
        </w:rPr>
        <w:t>, Intel, RAN1</w:t>
      </w:r>
      <w:r w:rsidR="007B2EB7">
        <w:rPr>
          <w:rFonts w:ascii="Times New Roman" w:hAnsi="Times New Roman" w:cs="Times New Roman"/>
          <w:sz w:val="20"/>
          <w:szCs w:val="20"/>
        </w:rPr>
        <w:t>#104e</w:t>
      </w:r>
    </w:p>
    <w:sectPr w:rsidR="009270AA" w:rsidRPr="00773BA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E4D2B" w14:textId="77777777" w:rsidR="00ED5D6A" w:rsidRDefault="00ED5D6A">
      <w:r>
        <w:separator/>
      </w:r>
    </w:p>
  </w:endnote>
  <w:endnote w:type="continuationSeparator" w:id="0">
    <w:p w14:paraId="30B35AD2" w14:textId="77777777" w:rsidR="00ED5D6A" w:rsidRDefault="00ED5D6A">
      <w:r>
        <w:continuationSeparator/>
      </w:r>
    </w:p>
  </w:endnote>
  <w:endnote w:type="continuationNotice" w:id="1">
    <w:p w14:paraId="595F05E2" w14:textId="77777777" w:rsidR="00ED5D6A" w:rsidRDefault="00ED5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FD60F" w14:textId="77777777" w:rsidR="00ED5D6A" w:rsidRDefault="00ED5D6A">
      <w:r>
        <w:separator/>
      </w:r>
    </w:p>
  </w:footnote>
  <w:footnote w:type="continuationSeparator" w:id="0">
    <w:p w14:paraId="1B7CF336" w14:textId="77777777" w:rsidR="00ED5D6A" w:rsidRDefault="00ED5D6A">
      <w:r>
        <w:continuationSeparator/>
      </w:r>
    </w:p>
  </w:footnote>
  <w:footnote w:type="continuationNotice" w:id="1">
    <w:p w14:paraId="29A68FDE" w14:textId="77777777" w:rsidR="00ED5D6A" w:rsidRDefault="00ED5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36"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4"/>
  </w:num>
  <w:num w:numId="6">
    <w:abstractNumId w:val="22"/>
  </w:num>
  <w:num w:numId="7">
    <w:abstractNumId w:val="30"/>
  </w:num>
  <w:num w:numId="8">
    <w:abstractNumId w:val="15"/>
  </w:num>
  <w:num w:numId="9">
    <w:abstractNumId w:val="28"/>
  </w:num>
  <w:num w:numId="10">
    <w:abstractNumId w:val="31"/>
  </w:num>
  <w:num w:numId="11">
    <w:abstractNumId w:val="23"/>
  </w:num>
  <w:num w:numId="12">
    <w:abstractNumId w:val="20"/>
  </w:num>
  <w:num w:numId="13">
    <w:abstractNumId w:val="34"/>
  </w:num>
  <w:num w:numId="14">
    <w:abstractNumId w:val="11"/>
  </w:num>
  <w:num w:numId="15">
    <w:abstractNumId w:val="29"/>
  </w:num>
  <w:num w:numId="16">
    <w:abstractNumId w:val="6"/>
  </w:num>
  <w:num w:numId="17">
    <w:abstractNumId w:val="32"/>
  </w:num>
  <w:num w:numId="18">
    <w:abstractNumId w:val="12"/>
  </w:num>
  <w:num w:numId="19">
    <w:abstractNumId w:val="13"/>
  </w:num>
  <w:num w:numId="20">
    <w:abstractNumId w:val="21"/>
  </w:num>
  <w:num w:numId="21">
    <w:abstractNumId w:val="16"/>
  </w:num>
  <w:num w:numId="22">
    <w:abstractNumId w:val="2"/>
  </w:num>
  <w:num w:numId="23">
    <w:abstractNumId w:val="36"/>
  </w:num>
  <w:num w:numId="24">
    <w:abstractNumId w:val="1"/>
  </w:num>
  <w:num w:numId="25">
    <w:abstractNumId w:val="4"/>
  </w:num>
  <w:num w:numId="26">
    <w:abstractNumId w:val="24"/>
  </w:num>
  <w:num w:numId="27">
    <w:abstractNumId w:val="9"/>
  </w:num>
  <w:num w:numId="28">
    <w:abstractNumId w:val="8"/>
  </w:num>
  <w:num w:numId="29">
    <w:abstractNumId w:val="8"/>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5"/>
  </w:num>
  <w:num w:numId="33">
    <w:abstractNumId w:val="3"/>
  </w:num>
  <w:num w:numId="34">
    <w:abstractNumId w:val="3"/>
  </w:num>
  <w:num w:numId="35">
    <w:abstractNumId w:val="26"/>
  </w:num>
  <w:num w:numId="36">
    <w:abstractNumId w:val="5"/>
  </w:num>
  <w:num w:numId="37">
    <w:abstractNumId w:val="5"/>
  </w:num>
  <w:num w:numId="38">
    <w:abstractNumId w:val="0"/>
  </w:num>
  <w:num w:numId="39">
    <w:abstractNumId w:val="10"/>
  </w:num>
  <w:num w:numId="40">
    <w:abstractNumId w:val="7"/>
  </w:num>
  <w:num w:numId="41">
    <w:abstractNumId w:val="19"/>
  </w:num>
  <w:num w:numId="4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0C1"/>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3DBC"/>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D8A"/>
    <w:rsid w:val="00042D97"/>
    <w:rsid w:val="00042DB3"/>
    <w:rsid w:val="00042F22"/>
    <w:rsid w:val="00043E17"/>
    <w:rsid w:val="000444EF"/>
    <w:rsid w:val="00044652"/>
    <w:rsid w:val="00044E7F"/>
    <w:rsid w:val="000455B9"/>
    <w:rsid w:val="00045981"/>
    <w:rsid w:val="0004792F"/>
    <w:rsid w:val="00050B9F"/>
    <w:rsid w:val="00051FE1"/>
    <w:rsid w:val="00052636"/>
    <w:rsid w:val="00052A07"/>
    <w:rsid w:val="000534E3"/>
    <w:rsid w:val="0005606A"/>
    <w:rsid w:val="00056CD1"/>
    <w:rsid w:val="00057117"/>
    <w:rsid w:val="00057276"/>
    <w:rsid w:val="00057E2C"/>
    <w:rsid w:val="00060B7B"/>
    <w:rsid w:val="00060FD1"/>
    <w:rsid w:val="000616E7"/>
    <w:rsid w:val="000629FD"/>
    <w:rsid w:val="00063C67"/>
    <w:rsid w:val="000644F8"/>
    <w:rsid w:val="0006487E"/>
    <w:rsid w:val="00065E1A"/>
    <w:rsid w:val="00067548"/>
    <w:rsid w:val="00070695"/>
    <w:rsid w:val="00072853"/>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4A77"/>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BA4"/>
    <w:rsid w:val="000D4797"/>
    <w:rsid w:val="000D4AB6"/>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1005FF"/>
    <w:rsid w:val="00106086"/>
    <w:rsid w:val="001062FB"/>
    <w:rsid w:val="001063E6"/>
    <w:rsid w:val="00107197"/>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202"/>
    <w:rsid w:val="001325F5"/>
    <w:rsid w:val="00132876"/>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4E87"/>
    <w:rsid w:val="00145D40"/>
    <w:rsid w:val="00146270"/>
    <w:rsid w:val="001466C3"/>
    <w:rsid w:val="00146AD8"/>
    <w:rsid w:val="00151723"/>
    <w:rsid w:val="00151975"/>
    <w:rsid w:val="00151E23"/>
    <w:rsid w:val="0015235C"/>
    <w:rsid w:val="001526E0"/>
    <w:rsid w:val="00152DF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AC1"/>
    <w:rsid w:val="001928DE"/>
    <w:rsid w:val="00192C10"/>
    <w:rsid w:val="0019341A"/>
    <w:rsid w:val="00193A13"/>
    <w:rsid w:val="00194C7A"/>
    <w:rsid w:val="00195520"/>
    <w:rsid w:val="0019607E"/>
    <w:rsid w:val="001963B6"/>
    <w:rsid w:val="0019713E"/>
    <w:rsid w:val="00197BC4"/>
    <w:rsid w:val="00197DF9"/>
    <w:rsid w:val="001A02C1"/>
    <w:rsid w:val="001A1987"/>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1BBD"/>
    <w:rsid w:val="001D2185"/>
    <w:rsid w:val="001D280D"/>
    <w:rsid w:val="001D2C0F"/>
    <w:rsid w:val="001D2FFD"/>
    <w:rsid w:val="001D3AD3"/>
    <w:rsid w:val="001D40A9"/>
    <w:rsid w:val="001D4132"/>
    <w:rsid w:val="001D4ABC"/>
    <w:rsid w:val="001D51BA"/>
    <w:rsid w:val="001D6342"/>
    <w:rsid w:val="001D64D3"/>
    <w:rsid w:val="001D6D53"/>
    <w:rsid w:val="001E06DE"/>
    <w:rsid w:val="001E1066"/>
    <w:rsid w:val="001E1D1D"/>
    <w:rsid w:val="001E344E"/>
    <w:rsid w:val="001E58E2"/>
    <w:rsid w:val="001E6BF2"/>
    <w:rsid w:val="001E7AED"/>
    <w:rsid w:val="001F1034"/>
    <w:rsid w:val="001F15FB"/>
    <w:rsid w:val="001F17C5"/>
    <w:rsid w:val="001F1CD9"/>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37509"/>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500C8"/>
    <w:rsid w:val="00250F16"/>
    <w:rsid w:val="002511E0"/>
    <w:rsid w:val="0025167F"/>
    <w:rsid w:val="00251F92"/>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5CF4"/>
    <w:rsid w:val="00266214"/>
    <w:rsid w:val="002673C8"/>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5F10"/>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96E"/>
    <w:rsid w:val="002C7CB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22FC"/>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D5B"/>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77D1A"/>
    <w:rsid w:val="00382297"/>
    <w:rsid w:val="00385BF0"/>
    <w:rsid w:val="00385CE1"/>
    <w:rsid w:val="0038629C"/>
    <w:rsid w:val="003874B1"/>
    <w:rsid w:val="0038759A"/>
    <w:rsid w:val="00387618"/>
    <w:rsid w:val="00387BA7"/>
    <w:rsid w:val="00390264"/>
    <w:rsid w:val="00390834"/>
    <w:rsid w:val="003908FF"/>
    <w:rsid w:val="00392A4B"/>
    <w:rsid w:val="00393489"/>
    <w:rsid w:val="003939FF"/>
    <w:rsid w:val="003953A9"/>
    <w:rsid w:val="00396A2D"/>
    <w:rsid w:val="003971C5"/>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D18"/>
    <w:rsid w:val="003A7EF3"/>
    <w:rsid w:val="003A7F37"/>
    <w:rsid w:val="003B0971"/>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6749"/>
    <w:rsid w:val="003F6BBE"/>
    <w:rsid w:val="003F75E8"/>
    <w:rsid w:val="004000E8"/>
    <w:rsid w:val="00400175"/>
    <w:rsid w:val="0040092A"/>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2997"/>
    <w:rsid w:val="00442AFA"/>
    <w:rsid w:val="00443270"/>
    <w:rsid w:val="004438E1"/>
    <w:rsid w:val="00443B8C"/>
    <w:rsid w:val="00443BE9"/>
    <w:rsid w:val="00444AAD"/>
    <w:rsid w:val="00444C54"/>
    <w:rsid w:val="00444C6F"/>
    <w:rsid w:val="00444F56"/>
    <w:rsid w:val="00445924"/>
    <w:rsid w:val="00445D84"/>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E7"/>
    <w:rsid w:val="00470702"/>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BC6"/>
    <w:rsid w:val="00487621"/>
    <w:rsid w:val="004915C1"/>
    <w:rsid w:val="00492BC5"/>
    <w:rsid w:val="00492E3C"/>
    <w:rsid w:val="004933FE"/>
    <w:rsid w:val="00493917"/>
    <w:rsid w:val="00493F23"/>
    <w:rsid w:val="00494430"/>
    <w:rsid w:val="0049499D"/>
    <w:rsid w:val="004961CE"/>
    <w:rsid w:val="004961D3"/>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4EB"/>
    <w:rsid w:val="004B7C0C"/>
    <w:rsid w:val="004C01C8"/>
    <w:rsid w:val="004C0C70"/>
    <w:rsid w:val="004C2328"/>
    <w:rsid w:val="004C24EC"/>
    <w:rsid w:val="004C2579"/>
    <w:rsid w:val="004C2922"/>
    <w:rsid w:val="004C2D6E"/>
    <w:rsid w:val="004C3263"/>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5FC6"/>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D06"/>
    <w:rsid w:val="005313D4"/>
    <w:rsid w:val="00531534"/>
    <w:rsid w:val="00531CAC"/>
    <w:rsid w:val="00531F1D"/>
    <w:rsid w:val="005321E1"/>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01A"/>
    <w:rsid w:val="005377F4"/>
    <w:rsid w:val="00537C62"/>
    <w:rsid w:val="00540048"/>
    <w:rsid w:val="00541EC3"/>
    <w:rsid w:val="005422D0"/>
    <w:rsid w:val="00543336"/>
    <w:rsid w:val="00543775"/>
    <w:rsid w:val="00543FA6"/>
    <w:rsid w:val="00544F20"/>
    <w:rsid w:val="00545ECE"/>
    <w:rsid w:val="005465D8"/>
    <w:rsid w:val="00546970"/>
    <w:rsid w:val="00547A14"/>
    <w:rsid w:val="00547C54"/>
    <w:rsid w:val="00547F05"/>
    <w:rsid w:val="00547F49"/>
    <w:rsid w:val="0055001B"/>
    <w:rsid w:val="0055147D"/>
    <w:rsid w:val="00551F46"/>
    <w:rsid w:val="0055209D"/>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185A"/>
    <w:rsid w:val="00572505"/>
    <w:rsid w:val="00572CE8"/>
    <w:rsid w:val="00576952"/>
    <w:rsid w:val="00580202"/>
    <w:rsid w:val="00582746"/>
    <w:rsid w:val="00582809"/>
    <w:rsid w:val="00582A4A"/>
    <w:rsid w:val="00583180"/>
    <w:rsid w:val="005843A4"/>
    <w:rsid w:val="005845CB"/>
    <w:rsid w:val="00584ABE"/>
    <w:rsid w:val="0058563E"/>
    <w:rsid w:val="0058671D"/>
    <w:rsid w:val="005874C6"/>
    <w:rsid w:val="0058798C"/>
    <w:rsid w:val="00587BD2"/>
    <w:rsid w:val="005900FA"/>
    <w:rsid w:val="005905A3"/>
    <w:rsid w:val="005923F4"/>
    <w:rsid w:val="005927B4"/>
    <w:rsid w:val="005935A4"/>
    <w:rsid w:val="00593DD1"/>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508"/>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12A4"/>
    <w:rsid w:val="005D1379"/>
    <w:rsid w:val="005D1498"/>
    <w:rsid w:val="005D1602"/>
    <w:rsid w:val="005D1A70"/>
    <w:rsid w:val="005D3382"/>
    <w:rsid w:val="005D65DE"/>
    <w:rsid w:val="005D6B0B"/>
    <w:rsid w:val="005D71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5C7"/>
    <w:rsid w:val="006119A2"/>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F8F"/>
    <w:rsid w:val="00625051"/>
    <w:rsid w:val="006251CF"/>
    <w:rsid w:val="006260ED"/>
    <w:rsid w:val="006268BE"/>
    <w:rsid w:val="006276C5"/>
    <w:rsid w:val="006278C7"/>
    <w:rsid w:val="00630001"/>
    <w:rsid w:val="006311B3"/>
    <w:rsid w:val="0063213B"/>
    <w:rsid w:val="0063284C"/>
    <w:rsid w:val="00632C35"/>
    <w:rsid w:val="00633833"/>
    <w:rsid w:val="0063397D"/>
    <w:rsid w:val="00634E62"/>
    <w:rsid w:val="006358D5"/>
    <w:rsid w:val="00635F6F"/>
    <w:rsid w:val="00636046"/>
    <w:rsid w:val="00636398"/>
    <w:rsid w:val="006368D3"/>
    <w:rsid w:val="00636A5D"/>
    <w:rsid w:val="006377EC"/>
    <w:rsid w:val="00641239"/>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6D72"/>
    <w:rsid w:val="006675F9"/>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D7"/>
    <w:rsid w:val="00677A03"/>
    <w:rsid w:val="006802DE"/>
    <w:rsid w:val="006804B5"/>
    <w:rsid w:val="00680CD3"/>
    <w:rsid w:val="00681003"/>
    <w:rsid w:val="006817C9"/>
    <w:rsid w:val="00681D82"/>
    <w:rsid w:val="006826E7"/>
    <w:rsid w:val="00682B53"/>
    <w:rsid w:val="00682BA6"/>
    <w:rsid w:val="00683ECE"/>
    <w:rsid w:val="00687E2C"/>
    <w:rsid w:val="00690B70"/>
    <w:rsid w:val="00690F89"/>
    <w:rsid w:val="006913A9"/>
    <w:rsid w:val="00691F27"/>
    <w:rsid w:val="00692B16"/>
    <w:rsid w:val="00694D5D"/>
    <w:rsid w:val="00695381"/>
    <w:rsid w:val="00695FC2"/>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4A3B"/>
    <w:rsid w:val="006E4E39"/>
    <w:rsid w:val="006E565E"/>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D56"/>
    <w:rsid w:val="006F6D80"/>
    <w:rsid w:val="006F7626"/>
    <w:rsid w:val="0070170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934"/>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CC"/>
    <w:rsid w:val="0074524B"/>
    <w:rsid w:val="007460A0"/>
    <w:rsid w:val="00747751"/>
    <w:rsid w:val="007479D6"/>
    <w:rsid w:val="00747B4D"/>
    <w:rsid w:val="00747D8B"/>
    <w:rsid w:val="00750580"/>
    <w:rsid w:val="00751228"/>
    <w:rsid w:val="0075196D"/>
    <w:rsid w:val="007535D6"/>
    <w:rsid w:val="00753CAE"/>
    <w:rsid w:val="00754B9B"/>
    <w:rsid w:val="007571E1"/>
    <w:rsid w:val="007604B2"/>
    <w:rsid w:val="00763989"/>
    <w:rsid w:val="00764B17"/>
    <w:rsid w:val="00765281"/>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338"/>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5490"/>
    <w:rsid w:val="00787234"/>
    <w:rsid w:val="00790829"/>
    <w:rsid w:val="007913AC"/>
    <w:rsid w:val="007923BA"/>
    <w:rsid w:val="007925EA"/>
    <w:rsid w:val="00792E06"/>
    <w:rsid w:val="00793CD8"/>
    <w:rsid w:val="00793EEA"/>
    <w:rsid w:val="00794C6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2EB7"/>
    <w:rsid w:val="007B3D2D"/>
    <w:rsid w:val="007B3DDF"/>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64B9"/>
    <w:rsid w:val="008902A3"/>
    <w:rsid w:val="0089173C"/>
    <w:rsid w:val="008925E5"/>
    <w:rsid w:val="00893559"/>
    <w:rsid w:val="0089376C"/>
    <w:rsid w:val="00893C6A"/>
    <w:rsid w:val="008940F7"/>
    <w:rsid w:val="0089470C"/>
    <w:rsid w:val="00894A7A"/>
    <w:rsid w:val="00894A88"/>
    <w:rsid w:val="00895386"/>
    <w:rsid w:val="00895660"/>
    <w:rsid w:val="008969E4"/>
    <w:rsid w:val="00897036"/>
    <w:rsid w:val="00897414"/>
    <w:rsid w:val="008A0628"/>
    <w:rsid w:val="008A0BB9"/>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0AB7"/>
    <w:rsid w:val="008B120C"/>
    <w:rsid w:val="008B2228"/>
    <w:rsid w:val="008B321B"/>
    <w:rsid w:val="008B40D0"/>
    <w:rsid w:val="008B51A0"/>
    <w:rsid w:val="008B592A"/>
    <w:rsid w:val="008B63B8"/>
    <w:rsid w:val="008B6F35"/>
    <w:rsid w:val="008B7B5C"/>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511A"/>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C3F"/>
    <w:rsid w:val="00901136"/>
    <w:rsid w:val="00901380"/>
    <w:rsid w:val="00902350"/>
    <w:rsid w:val="00903172"/>
    <w:rsid w:val="0090336B"/>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9A2"/>
    <w:rsid w:val="00916DAC"/>
    <w:rsid w:val="0091703B"/>
    <w:rsid w:val="00917641"/>
    <w:rsid w:val="0091778E"/>
    <w:rsid w:val="00917CE9"/>
    <w:rsid w:val="00920BF2"/>
    <w:rsid w:val="00922010"/>
    <w:rsid w:val="00922A69"/>
    <w:rsid w:val="00922EF9"/>
    <w:rsid w:val="00924B76"/>
    <w:rsid w:val="0092553D"/>
    <w:rsid w:val="00926863"/>
    <w:rsid w:val="00926D0E"/>
    <w:rsid w:val="009270AA"/>
    <w:rsid w:val="009270E9"/>
    <w:rsid w:val="00927F40"/>
    <w:rsid w:val="0093103F"/>
    <w:rsid w:val="00931661"/>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5501"/>
    <w:rsid w:val="009755EB"/>
    <w:rsid w:val="00975997"/>
    <w:rsid w:val="0097603D"/>
    <w:rsid w:val="00976949"/>
    <w:rsid w:val="00980477"/>
    <w:rsid w:val="0098097C"/>
    <w:rsid w:val="0098142A"/>
    <w:rsid w:val="009827EF"/>
    <w:rsid w:val="0098284E"/>
    <w:rsid w:val="00984217"/>
    <w:rsid w:val="009842D5"/>
    <w:rsid w:val="0098481A"/>
    <w:rsid w:val="00985253"/>
    <w:rsid w:val="009853B3"/>
    <w:rsid w:val="00985CBE"/>
    <w:rsid w:val="00990630"/>
    <w:rsid w:val="009913E0"/>
    <w:rsid w:val="00991761"/>
    <w:rsid w:val="009928E6"/>
    <w:rsid w:val="00993727"/>
    <w:rsid w:val="009940B0"/>
    <w:rsid w:val="00994DCA"/>
    <w:rsid w:val="00995585"/>
    <w:rsid w:val="009960EC"/>
    <w:rsid w:val="009962C4"/>
    <w:rsid w:val="00996D46"/>
    <w:rsid w:val="009970DD"/>
    <w:rsid w:val="00997687"/>
    <w:rsid w:val="009A0FBA"/>
    <w:rsid w:val="009A1601"/>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017"/>
    <w:rsid w:val="009E068F"/>
    <w:rsid w:val="009E14E0"/>
    <w:rsid w:val="009E35DB"/>
    <w:rsid w:val="009E407B"/>
    <w:rsid w:val="009E431C"/>
    <w:rsid w:val="009E47A3"/>
    <w:rsid w:val="009E4A87"/>
    <w:rsid w:val="009E537B"/>
    <w:rsid w:val="009E5902"/>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640D"/>
    <w:rsid w:val="009F6A52"/>
    <w:rsid w:val="009F7363"/>
    <w:rsid w:val="009F7E0E"/>
    <w:rsid w:val="00A008F3"/>
    <w:rsid w:val="00A00F1F"/>
    <w:rsid w:val="00A032E4"/>
    <w:rsid w:val="00A048A8"/>
    <w:rsid w:val="00A04F49"/>
    <w:rsid w:val="00A0651F"/>
    <w:rsid w:val="00A072BE"/>
    <w:rsid w:val="00A07855"/>
    <w:rsid w:val="00A07DF7"/>
    <w:rsid w:val="00A10A6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1044"/>
    <w:rsid w:val="00A32662"/>
    <w:rsid w:val="00A3448A"/>
    <w:rsid w:val="00A35099"/>
    <w:rsid w:val="00A35130"/>
    <w:rsid w:val="00A3514E"/>
    <w:rsid w:val="00A354DD"/>
    <w:rsid w:val="00A36297"/>
    <w:rsid w:val="00A3751A"/>
    <w:rsid w:val="00A4191F"/>
    <w:rsid w:val="00A41E2B"/>
    <w:rsid w:val="00A429FC"/>
    <w:rsid w:val="00A44B11"/>
    <w:rsid w:val="00A45B74"/>
    <w:rsid w:val="00A468B9"/>
    <w:rsid w:val="00A47529"/>
    <w:rsid w:val="00A47CB0"/>
    <w:rsid w:val="00A50F35"/>
    <w:rsid w:val="00A50FA9"/>
    <w:rsid w:val="00A5201B"/>
    <w:rsid w:val="00A521B4"/>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D5"/>
    <w:rsid w:val="00A67E6C"/>
    <w:rsid w:val="00A704FD"/>
    <w:rsid w:val="00A70E09"/>
    <w:rsid w:val="00A71B99"/>
    <w:rsid w:val="00A739D0"/>
    <w:rsid w:val="00A748D7"/>
    <w:rsid w:val="00A74E64"/>
    <w:rsid w:val="00A758C5"/>
    <w:rsid w:val="00A761D4"/>
    <w:rsid w:val="00A77ADD"/>
    <w:rsid w:val="00A77D48"/>
    <w:rsid w:val="00A77EC4"/>
    <w:rsid w:val="00A80BAB"/>
    <w:rsid w:val="00A81153"/>
    <w:rsid w:val="00A826B6"/>
    <w:rsid w:val="00A8392D"/>
    <w:rsid w:val="00A83A40"/>
    <w:rsid w:val="00A83FA6"/>
    <w:rsid w:val="00A85AE7"/>
    <w:rsid w:val="00A872FD"/>
    <w:rsid w:val="00A87B41"/>
    <w:rsid w:val="00A9043E"/>
    <w:rsid w:val="00A908BD"/>
    <w:rsid w:val="00A90A96"/>
    <w:rsid w:val="00A913A6"/>
    <w:rsid w:val="00A9248E"/>
    <w:rsid w:val="00A92879"/>
    <w:rsid w:val="00A92ACF"/>
    <w:rsid w:val="00A93667"/>
    <w:rsid w:val="00A93F17"/>
    <w:rsid w:val="00A9442A"/>
    <w:rsid w:val="00A96CC6"/>
    <w:rsid w:val="00A9720E"/>
    <w:rsid w:val="00A97F3A"/>
    <w:rsid w:val="00AA016F"/>
    <w:rsid w:val="00AA18D0"/>
    <w:rsid w:val="00AA1A50"/>
    <w:rsid w:val="00AA1AEA"/>
    <w:rsid w:val="00AA1ED6"/>
    <w:rsid w:val="00AA2677"/>
    <w:rsid w:val="00AA287C"/>
    <w:rsid w:val="00AA2D4A"/>
    <w:rsid w:val="00AA2FDC"/>
    <w:rsid w:val="00AA50D3"/>
    <w:rsid w:val="00AA51D6"/>
    <w:rsid w:val="00AA56AA"/>
    <w:rsid w:val="00AA665A"/>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C4C"/>
    <w:rsid w:val="00B0419A"/>
    <w:rsid w:val="00B04B07"/>
    <w:rsid w:val="00B05084"/>
    <w:rsid w:val="00B05BA5"/>
    <w:rsid w:val="00B0611B"/>
    <w:rsid w:val="00B064AA"/>
    <w:rsid w:val="00B107CE"/>
    <w:rsid w:val="00B10B32"/>
    <w:rsid w:val="00B1144B"/>
    <w:rsid w:val="00B136CA"/>
    <w:rsid w:val="00B140A5"/>
    <w:rsid w:val="00B1488E"/>
    <w:rsid w:val="00B14FE8"/>
    <w:rsid w:val="00B15694"/>
    <w:rsid w:val="00B157F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B9E"/>
    <w:rsid w:val="00B40ECB"/>
    <w:rsid w:val="00B413D6"/>
    <w:rsid w:val="00B41888"/>
    <w:rsid w:val="00B41DF0"/>
    <w:rsid w:val="00B425F8"/>
    <w:rsid w:val="00B42BDB"/>
    <w:rsid w:val="00B43407"/>
    <w:rsid w:val="00B45A52"/>
    <w:rsid w:val="00B46175"/>
    <w:rsid w:val="00B474B4"/>
    <w:rsid w:val="00B47EB4"/>
    <w:rsid w:val="00B514E7"/>
    <w:rsid w:val="00B51BFF"/>
    <w:rsid w:val="00B51F19"/>
    <w:rsid w:val="00B52B71"/>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3A64"/>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712"/>
    <w:rsid w:val="00C1189B"/>
    <w:rsid w:val="00C1199F"/>
    <w:rsid w:val="00C11AAA"/>
    <w:rsid w:val="00C11B5A"/>
    <w:rsid w:val="00C11C01"/>
    <w:rsid w:val="00C12107"/>
    <w:rsid w:val="00C12C66"/>
    <w:rsid w:val="00C138FB"/>
    <w:rsid w:val="00C145B6"/>
    <w:rsid w:val="00C14D4B"/>
    <w:rsid w:val="00C14F9F"/>
    <w:rsid w:val="00C154BB"/>
    <w:rsid w:val="00C16AC3"/>
    <w:rsid w:val="00C17E6F"/>
    <w:rsid w:val="00C20190"/>
    <w:rsid w:val="00C20A44"/>
    <w:rsid w:val="00C223E6"/>
    <w:rsid w:val="00C23971"/>
    <w:rsid w:val="00C248C3"/>
    <w:rsid w:val="00C24DFB"/>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23FA"/>
    <w:rsid w:val="00C536F2"/>
    <w:rsid w:val="00C53829"/>
    <w:rsid w:val="00C5386C"/>
    <w:rsid w:val="00C539C9"/>
    <w:rsid w:val="00C54995"/>
    <w:rsid w:val="00C54D41"/>
    <w:rsid w:val="00C5639D"/>
    <w:rsid w:val="00C56496"/>
    <w:rsid w:val="00C6036B"/>
    <w:rsid w:val="00C60783"/>
    <w:rsid w:val="00C60E2B"/>
    <w:rsid w:val="00C61EA7"/>
    <w:rsid w:val="00C63E9B"/>
    <w:rsid w:val="00C64410"/>
    <w:rsid w:val="00C644F7"/>
    <w:rsid w:val="00C64672"/>
    <w:rsid w:val="00C66356"/>
    <w:rsid w:val="00C66AEE"/>
    <w:rsid w:val="00C70697"/>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1C0C"/>
    <w:rsid w:val="00C82B92"/>
    <w:rsid w:val="00C82F59"/>
    <w:rsid w:val="00C84BF1"/>
    <w:rsid w:val="00C84C66"/>
    <w:rsid w:val="00C856D5"/>
    <w:rsid w:val="00C86997"/>
    <w:rsid w:val="00C87CCC"/>
    <w:rsid w:val="00C87CDD"/>
    <w:rsid w:val="00C9027A"/>
    <w:rsid w:val="00C90292"/>
    <w:rsid w:val="00C905DF"/>
    <w:rsid w:val="00C9068E"/>
    <w:rsid w:val="00C910BF"/>
    <w:rsid w:val="00C91B44"/>
    <w:rsid w:val="00C91DBC"/>
    <w:rsid w:val="00C9363F"/>
    <w:rsid w:val="00C93C4B"/>
    <w:rsid w:val="00C94070"/>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ED8"/>
    <w:rsid w:val="00CA3172"/>
    <w:rsid w:val="00CA5288"/>
    <w:rsid w:val="00CA57DB"/>
    <w:rsid w:val="00CA61FB"/>
    <w:rsid w:val="00CA6CFD"/>
    <w:rsid w:val="00CA7170"/>
    <w:rsid w:val="00CB037D"/>
    <w:rsid w:val="00CB0DE9"/>
    <w:rsid w:val="00CB1F63"/>
    <w:rsid w:val="00CB2731"/>
    <w:rsid w:val="00CB47FF"/>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E7BCB"/>
    <w:rsid w:val="00CF1354"/>
    <w:rsid w:val="00CF1F5F"/>
    <w:rsid w:val="00CF2BF0"/>
    <w:rsid w:val="00CF3332"/>
    <w:rsid w:val="00CF3B1F"/>
    <w:rsid w:val="00CF3BF6"/>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101D"/>
    <w:rsid w:val="00D32166"/>
    <w:rsid w:val="00D33059"/>
    <w:rsid w:val="00D35234"/>
    <w:rsid w:val="00D35F56"/>
    <w:rsid w:val="00D36E71"/>
    <w:rsid w:val="00D36FF6"/>
    <w:rsid w:val="00D37D87"/>
    <w:rsid w:val="00D4064E"/>
    <w:rsid w:val="00D40B33"/>
    <w:rsid w:val="00D40F14"/>
    <w:rsid w:val="00D426CB"/>
    <w:rsid w:val="00D42D88"/>
    <w:rsid w:val="00D4318F"/>
    <w:rsid w:val="00D438BF"/>
    <w:rsid w:val="00D440F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5560"/>
    <w:rsid w:val="00DD5BAB"/>
    <w:rsid w:val="00DD6042"/>
    <w:rsid w:val="00DD7867"/>
    <w:rsid w:val="00DE0827"/>
    <w:rsid w:val="00DE1161"/>
    <w:rsid w:val="00DE227E"/>
    <w:rsid w:val="00DE3A33"/>
    <w:rsid w:val="00DE4580"/>
    <w:rsid w:val="00DE5608"/>
    <w:rsid w:val="00DE58D0"/>
    <w:rsid w:val="00DE654F"/>
    <w:rsid w:val="00DE6938"/>
    <w:rsid w:val="00DF086B"/>
    <w:rsid w:val="00DF0B6E"/>
    <w:rsid w:val="00DF15E0"/>
    <w:rsid w:val="00DF20A7"/>
    <w:rsid w:val="00DF2F61"/>
    <w:rsid w:val="00DF3068"/>
    <w:rsid w:val="00DF37A0"/>
    <w:rsid w:val="00DF3F1F"/>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5ED0"/>
    <w:rsid w:val="00E174CA"/>
    <w:rsid w:val="00E17970"/>
    <w:rsid w:val="00E17B45"/>
    <w:rsid w:val="00E17FA2"/>
    <w:rsid w:val="00E2158E"/>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E0"/>
    <w:rsid w:val="00E373BD"/>
    <w:rsid w:val="00E37860"/>
    <w:rsid w:val="00E41503"/>
    <w:rsid w:val="00E420A3"/>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4CCA"/>
    <w:rsid w:val="00E65796"/>
    <w:rsid w:val="00E65802"/>
    <w:rsid w:val="00E666C9"/>
    <w:rsid w:val="00E66DB7"/>
    <w:rsid w:val="00E674EE"/>
    <w:rsid w:val="00E67C51"/>
    <w:rsid w:val="00E70D86"/>
    <w:rsid w:val="00E7226E"/>
    <w:rsid w:val="00E7294A"/>
    <w:rsid w:val="00E72EFC"/>
    <w:rsid w:val="00E732FD"/>
    <w:rsid w:val="00E758EC"/>
    <w:rsid w:val="00E7599C"/>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5B73"/>
    <w:rsid w:val="00EA6B30"/>
    <w:rsid w:val="00EA6E0E"/>
    <w:rsid w:val="00EA7A41"/>
    <w:rsid w:val="00EB077B"/>
    <w:rsid w:val="00EB2A7B"/>
    <w:rsid w:val="00EB3697"/>
    <w:rsid w:val="00EB45F9"/>
    <w:rsid w:val="00EB4EA2"/>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6A"/>
    <w:rsid w:val="00ED5DF4"/>
    <w:rsid w:val="00ED5F66"/>
    <w:rsid w:val="00ED6E06"/>
    <w:rsid w:val="00ED7959"/>
    <w:rsid w:val="00ED7BC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25B"/>
    <w:rsid w:val="00F167E6"/>
    <w:rsid w:val="00F17D53"/>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233"/>
    <w:rsid w:val="00F35EF6"/>
    <w:rsid w:val="00F40806"/>
    <w:rsid w:val="00F40C33"/>
    <w:rsid w:val="00F40F0C"/>
    <w:rsid w:val="00F42FD2"/>
    <w:rsid w:val="00F4350D"/>
    <w:rsid w:val="00F4352A"/>
    <w:rsid w:val="00F44651"/>
    <w:rsid w:val="00F469E1"/>
    <w:rsid w:val="00F46FA4"/>
    <w:rsid w:val="00F47093"/>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114"/>
    <w:rsid w:val="00F673E3"/>
    <w:rsid w:val="00F67F53"/>
    <w:rsid w:val="00F703BE"/>
    <w:rsid w:val="00F71F69"/>
    <w:rsid w:val="00F72052"/>
    <w:rsid w:val="00F72288"/>
    <w:rsid w:val="00F72A1E"/>
    <w:rsid w:val="00F72A83"/>
    <w:rsid w:val="00F72B72"/>
    <w:rsid w:val="00F73C22"/>
    <w:rsid w:val="00F73EDE"/>
    <w:rsid w:val="00F74BB9"/>
    <w:rsid w:val="00F7543E"/>
    <w:rsid w:val="00F75582"/>
    <w:rsid w:val="00F75A7F"/>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1271"/>
    <w:rsid w:val="00FB244D"/>
    <w:rsid w:val="00FB248B"/>
    <w:rsid w:val="00FB2583"/>
    <w:rsid w:val="00FB2629"/>
    <w:rsid w:val="00FB3D52"/>
    <w:rsid w:val="00FB4589"/>
    <w:rsid w:val="00FB46E6"/>
    <w:rsid w:val="00FB4C80"/>
    <w:rsid w:val="00FB6A6A"/>
    <w:rsid w:val="00FB6ACF"/>
    <w:rsid w:val="00FC0206"/>
    <w:rsid w:val="00FC076D"/>
    <w:rsid w:val="00FC3468"/>
    <w:rsid w:val="00FC41E8"/>
    <w:rsid w:val="00FC4767"/>
    <w:rsid w:val="00FC4AD0"/>
    <w:rsid w:val="00FC5AA0"/>
    <w:rsid w:val="00FC5AD2"/>
    <w:rsid w:val="00FC7424"/>
    <w:rsid w:val="00FC7429"/>
    <w:rsid w:val="00FC77BC"/>
    <w:rsid w:val="00FD0394"/>
    <w:rsid w:val="00FD07F6"/>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C42"/>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263"/>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C3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2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1" ma:contentTypeDescription="Create a new document." ma:contentTypeScope="" ma:versionID="30f1deb6c559d88394da8a9977a32320">
  <xsd:schema xmlns:xsd="http://www.w3.org/2001/XMLSchema" xmlns:xs="http://www.w3.org/2001/XMLSchema" xmlns:p="http://schemas.microsoft.com/office/2006/metadata/properties" xmlns:ns3="17c56b3e-1272-4144-bfd4-7bc77d5c1fbb" xmlns:ns4="f1b2ef2b-a89f-4316-9739-532352c28ad3" targetNamespace="http://schemas.microsoft.com/office/2006/metadata/properties" ma:root="true" ma:fieldsID="2169254767395fa4f7ed67f4982ef8a7" ns3:_="" ns4:_="">
    <xsd:import namespace="17c56b3e-1272-4144-bfd4-7bc77d5c1fbb"/>
    <xsd:import namespace="f1b2ef2b-a89f-4316-9739-532352c28a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b2ef2b-a89f-4316-9739-532352c28ad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DAC19C-A473-4582-87F2-A96879D51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f1b2ef2b-a89f-4316-9739-532352c28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B21FB85-1C29-4007-AF96-94319EBF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1640</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5</cp:revision>
  <cp:lastPrinted>2008-01-31T06:09:00Z</cp:lastPrinted>
  <dcterms:created xsi:type="dcterms:W3CDTF">2021-04-01T08:10:00Z</dcterms:created>
  <dcterms:modified xsi:type="dcterms:W3CDTF">2021-04-01T08:11:00Z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